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F5DAD" w14:textId="5E84E039" w:rsidR="00A1255E" w:rsidRPr="00A1255E" w:rsidRDefault="00A1255E" w:rsidP="00A1255E">
      <w:pPr>
        <w:pStyle w:val="3GPPHeader"/>
        <w:rPr>
          <w:lang w:val="en-GB"/>
        </w:rPr>
      </w:pPr>
      <w:r w:rsidRPr="00A1255E">
        <w:rPr>
          <w:lang w:val="en-GB"/>
        </w:rPr>
        <w:t xml:space="preserve">3GPP TSG RAN WG1 Meeting #93         </w:t>
      </w:r>
      <w:r w:rsidRPr="00A1255E">
        <w:rPr>
          <w:lang w:val="en-GB"/>
        </w:rPr>
        <w:tab/>
        <w:t xml:space="preserve"> </w:t>
      </w:r>
      <w:r w:rsidRPr="00614ECB">
        <w:rPr>
          <w:lang w:val="en-GB"/>
        </w:rPr>
        <w:t>R1-18</w:t>
      </w:r>
      <w:r w:rsidR="00614ECB">
        <w:rPr>
          <w:lang w:val="en-GB"/>
        </w:rPr>
        <w:t>07269</w:t>
      </w:r>
    </w:p>
    <w:p w14:paraId="50797CF4" w14:textId="77777777" w:rsidR="00A1255E" w:rsidRPr="00A1255E" w:rsidRDefault="00A1255E" w:rsidP="00A1255E">
      <w:pPr>
        <w:pStyle w:val="3GPPHeader"/>
        <w:rPr>
          <w:lang w:val="en-GB"/>
        </w:rPr>
      </w:pPr>
      <w:r w:rsidRPr="00A1255E">
        <w:rPr>
          <w:lang w:val="en-GB"/>
        </w:rPr>
        <w:t>Busan, Korea, May 21</w:t>
      </w:r>
      <w:r w:rsidRPr="00A1255E">
        <w:rPr>
          <w:vertAlign w:val="superscript"/>
          <w:lang w:val="en-GB"/>
        </w:rPr>
        <w:t>st</w:t>
      </w:r>
      <w:r w:rsidRPr="00A1255E">
        <w:rPr>
          <w:lang w:val="en-GB"/>
        </w:rPr>
        <w:t xml:space="preserve"> – 25</w:t>
      </w:r>
      <w:r w:rsidRPr="00A1255E">
        <w:rPr>
          <w:vertAlign w:val="superscript"/>
          <w:lang w:val="en-GB"/>
        </w:rPr>
        <w:t>th</w:t>
      </w:r>
      <w:r w:rsidRPr="00A1255E">
        <w:rPr>
          <w:lang w:val="en-GB"/>
        </w:rPr>
        <w:t>, 2018</w:t>
      </w:r>
    </w:p>
    <w:p w14:paraId="74D5F4D6" w14:textId="77777777" w:rsidR="005D126B" w:rsidRPr="00A1255E" w:rsidRDefault="005D126B" w:rsidP="005D126B">
      <w:pPr>
        <w:pStyle w:val="3GPPHeader"/>
        <w:rPr>
          <w:lang w:val="en-GB"/>
        </w:rPr>
      </w:pPr>
    </w:p>
    <w:p w14:paraId="4F1EB857" w14:textId="77777777" w:rsidR="005D126B" w:rsidRPr="0051033A" w:rsidRDefault="005D126B" w:rsidP="005D126B">
      <w:pPr>
        <w:pStyle w:val="3GPPHeader"/>
        <w:rPr>
          <w:lang w:val="en-AU"/>
        </w:rPr>
      </w:pPr>
      <w:r w:rsidRPr="0051033A">
        <w:rPr>
          <w:lang w:val="en-AU"/>
        </w:rPr>
        <w:t>Source:</w:t>
      </w:r>
      <w:r w:rsidRPr="0051033A">
        <w:rPr>
          <w:lang w:val="en-AU"/>
        </w:rPr>
        <w:tab/>
        <w:t>Ericsson</w:t>
      </w:r>
    </w:p>
    <w:p w14:paraId="6892D285" w14:textId="4CA45AF5" w:rsidR="005D126B" w:rsidRPr="0051033A" w:rsidRDefault="005D126B" w:rsidP="005D126B">
      <w:pPr>
        <w:pStyle w:val="3GPPHeader"/>
        <w:rPr>
          <w:lang w:val="en-AU"/>
        </w:rPr>
      </w:pPr>
      <w:r w:rsidRPr="0051033A">
        <w:rPr>
          <w:lang w:val="en-AU"/>
        </w:rPr>
        <w:t>Title:</w:t>
      </w:r>
      <w:r w:rsidRPr="0051033A">
        <w:rPr>
          <w:lang w:val="en-AU"/>
        </w:rPr>
        <w:tab/>
        <w:t>Remaining issues on closed loop pow</w:t>
      </w:r>
      <w:bookmarkStart w:id="0" w:name="_GoBack"/>
      <w:bookmarkEnd w:id="0"/>
      <w:r w:rsidRPr="0051033A">
        <w:rPr>
          <w:lang w:val="en-AU"/>
        </w:rPr>
        <w:t>er control</w:t>
      </w:r>
    </w:p>
    <w:p w14:paraId="63A32E40" w14:textId="29E5201B" w:rsidR="005D126B" w:rsidRPr="0051033A" w:rsidRDefault="005D126B" w:rsidP="005D126B">
      <w:pPr>
        <w:pStyle w:val="3GPPHeader"/>
        <w:rPr>
          <w:lang w:val="en-AU"/>
        </w:rPr>
      </w:pPr>
      <w:r w:rsidRPr="0051033A">
        <w:rPr>
          <w:lang w:val="en-AU"/>
        </w:rPr>
        <w:t>Agenda Item:</w:t>
      </w:r>
      <w:r w:rsidRPr="0051033A">
        <w:rPr>
          <w:lang w:val="en-AU"/>
        </w:rPr>
        <w:tab/>
        <w:t>7.1.</w:t>
      </w:r>
      <w:r w:rsidR="003F6FF7" w:rsidRPr="0051033A">
        <w:rPr>
          <w:lang w:val="en-AU"/>
        </w:rPr>
        <w:t>6.3</w:t>
      </w:r>
    </w:p>
    <w:p w14:paraId="063249B6" w14:textId="77777777" w:rsidR="005D126B" w:rsidRPr="0051033A" w:rsidRDefault="005D126B" w:rsidP="005D126B">
      <w:pPr>
        <w:pStyle w:val="3GPPHeader"/>
        <w:rPr>
          <w:lang w:val="en-AU"/>
        </w:rPr>
      </w:pPr>
      <w:r w:rsidRPr="0051033A">
        <w:rPr>
          <w:lang w:val="en-AU"/>
        </w:rPr>
        <w:t>Document for:</w:t>
      </w:r>
      <w:r w:rsidRPr="0051033A">
        <w:rPr>
          <w:lang w:val="en-AU"/>
        </w:rPr>
        <w:tab/>
        <w:t>Discussion and Decision</w:t>
      </w:r>
    </w:p>
    <w:p w14:paraId="72B2365A" w14:textId="3959F3C7" w:rsidR="00E90E49" w:rsidRPr="00CE0424" w:rsidRDefault="007F75D5" w:rsidP="00CE0424">
      <w:pPr>
        <w:pStyle w:val="Heading1"/>
      </w:pPr>
      <w:r>
        <w:t>Introduction</w:t>
      </w:r>
    </w:p>
    <w:p w14:paraId="7E592E2B" w14:textId="5C9ADDB3" w:rsidR="004D059A" w:rsidRPr="004D059A" w:rsidRDefault="008D10E2" w:rsidP="007651FB">
      <w:pPr>
        <w:pStyle w:val="BodyText"/>
      </w:pPr>
      <w:r w:rsidRPr="0051033A">
        <w:rPr>
          <w:lang w:val="en-AU"/>
        </w:rPr>
        <w:t xml:space="preserve">In this contribution, </w:t>
      </w:r>
      <w:r w:rsidR="00D8682E">
        <w:rPr>
          <w:lang w:val="en-AU"/>
        </w:rPr>
        <w:t xml:space="preserve">which is a revised version of [1], </w:t>
      </w:r>
      <w:r w:rsidRPr="0051033A">
        <w:rPr>
          <w:lang w:val="en-AU"/>
        </w:rPr>
        <w:t xml:space="preserve">we discuss </w:t>
      </w:r>
      <w:r w:rsidR="004978E4" w:rsidRPr="0051033A">
        <w:rPr>
          <w:lang w:val="en-AU"/>
        </w:rPr>
        <w:t xml:space="preserve">some </w:t>
      </w:r>
      <w:r w:rsidR="00183F76" w:rsidRPr="0051033A">
        <w:rPr>
          <w:lang w:val="en-AU"/>
        </w:rPr>
        <w:t>remaining issues for closed loop UL power control</w:t>
      </w:r>
      <w:r w:rsidRPr="0051033A">
        <w:rPr>
          <w:lang w:val="en-AU"/>
        </w:rPr>
        <w:t>.</w:t>
      </w:r>
      <w:r w:rsidR="005D126B" w:rsidRPr="0051033A">
        <w:rPr>
          <w:lang w:val="en-AU"/>
        </w:rPr>
        <w:t xml:space="preserve"> </w:t>
      </w:r>
    </w:p>
    <w:p w14:paraId="3A3E8AC6" w14:textId="513D2595" w:rsidR="005B5B14" w:rsidRDefault="00E37C00" w:rsidP="00183F76">
      <w:pPr>
        <w:pStyle w:val="Heading1"/>
      </w:pPr>
      <w:r>
        <w:rPr>
          <w:szCs w:val="21"/>
          <w:lang w:val="en-AU"/>
        </w:rPr>
        <w:t>G</w:t>
      </w:r>
      <w:r w:rsidRPr="005B5B14">
        <w:rPr>
          <w:szCs w:val="21"/>
          <w:lang w:val="en-AU"/>
        </w:rPr>
        <w:t>roup-common TPC command</w:t>
      </w:r>
    </w:p>
    <w:p w14:paraId="019ACCF8" w14:textId="38024996" w:rsidR="005B5B14" w:rsidRDefault="00F60C01" w:rsidP="005B5B14">
      <w:pPr>
        <w:rPr>
          <w:lang w:val="en-GB" w:eastAsia="zh-CN"/>
        </w:rPr>
      </w:pPr>
      <w:r>
        <w:rPr>
          <w:lang w:val="en-AU"/>
        </w:rPr>
        <w:t xml:space="preserve">At the RAN1 #92bis the following agreement was reached: </w:t>
      </w:r>
    </w:p>
    <w:p w14:paraId="71ADEECC" w14:textId="1E98BCAE" w:rsidR="005B5B14" w:rsidRPr="00F60C01" w:rsidRDefault="005B5B14" w:rsidP="005B5B14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48B10F6" wp14:editId="46169E95">
                <wp:simplePos x="0" y="0"/>
                <wp:positionH relativeFrom="margin">
                  <wp:posOffset>0</wp:posOffset>
                </wp:positionH>
                <wp:positionV relativeFrom="paragraph">
                  <wp:posOffset>54610</wp:posOffset>
                </wp:positionV>
                <wp:extent cx="6009640" cy="1404620"/>
                <wp:effectExtent l="0" t="0" r="10160" b="266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9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0A140" w14:textId="77777777" w:rsidR="00DE6C17" w:rsidRPr="006F6130" w:rsidRDefault="00DE6C17" w:rsidP="005B5B14">
                            <w:pPr>
                              <w:pStyle w:val="ListParagraph4"/>
                              <w:snapToGrid w:val="0"/>
                              <w:spacing w:beforeLines="50" w:before="120"/>
                              <w:ind w:left="0"/>
                              <w:contextualSpacing w:val="0"/>
                              <w:rPr>
                                <w:rFonts w:eastAsia="Malgun Gothic"/>
                                <w:b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eastAsia="Malgun Gothic"/>
                                <w:b/>
                                <w:sz w:val="20"/>
                                <w:szCs w:val="21"/>
                                <w:highlight w:val="green"/>
                              </w:rPr>
                              <w:t>A</w:t>
                            </w:r>
                            <w:r w:rsidRPr="006F6130">
                              <w:rPr>
                                <w:rFonts w:eastAsia="Malgun Gothic"/>
                                <w:b/>
                                <w:sz w:val="20"/>
                                <w:szCs w:val="21"/>
                                <w:highlight w:val="green"/>
                              </w:rPr>
                              <w:t>greement:</w:t>
                            </w:r>
                          </w:p>
                          <w:p w14:paraId="41B71115" w14:textId="77777777" w:rsidR="00DE6C17" w:rsidRPr="005B5B14" w:rsidRDefault="00DE6C17" w:rsidP="005B5B14">
                            <w:pPr>
                              <w:numPr>
                                <w:ilvl w:val="0"/>
                                <w:numId w:val="28"/>
                              </w:numPr>
                              <w:spacing w:after="0" w:line="240" w:lineRule="auto"/>
                              <w:rPr>
                                <w:sz w:val="14"/>
                                <w:szCs w:val="20"/>
                                <w:lang w:val="en-AU" w:eastAsia="x-none"/>
                              </w:rPr>
                            </w:pPr>
                            <w:r w:rsidRPr="005B5B14">
                              <w:rPr>
                                <w:szCs w:val="21"/>
                                <w:lang w:val="en-AU"/>
                              </w:rPr>
                              <w:t>For group-common TPC command in DCI format 2-2, both closed loops can be adjusted dynamically</w:t>
                            </w:r>
                          </w:p>
                          <w:p w14:paraId="27171DA2" w14:textId="77777777" w:rsidR="00DE6C17" w:rsidRPr="005B5B14" w:rsidRDefault="00DE6C17" w:rsidP="005B5B14">
                            <w:pPr>
                              <w:rPr>
                                <w:szCs w:val="20"/>
                                <w:lang w:val="en-AU" w:eastAsia="x-none"/>
                              </w:rPr>
                            </w:pPr>
                          </w:p>
                          <w:p w14:paraId="3CD8A2DF" w14:textId="77777777" w:rsidR="00DE6C17" w:rsidRPr="005B5B14" w:rsidRDefault="00DE6C17" w:rsidP="005B5B14">
                            <w:pPr>
                              <w:rPr>
                                <w:b/>
                                <w:lang w:val="en-AU" w:eastAsia="x-none"/>
                              </w:rPr>
                            </w:pPr>
                            <w:r w:rsidRPr="005B5B14">
                              <w:rPr>
                                <w:b/>
                                <w:highlight w:val="darkYellow"/>
                                <w:lang w:val="en-AU" w:eastAsia="x-none"/>
                              </w:rPr>
                              <w:t>Working Assumption</w:t>
                            </w:r>
                          </w:p>
                          <w:p w14:paraId="5DED28BD" w14:textId="77777777" w:rsidR="00DE6C17" w:rsidRPr="005B5B14" w:rsidRDefault="00DE6C17" w:rsidP="005B5B14">
                            <w:pPr>
                              <w:snapToGrid w:val="0"/>
                              <w:jc w:val="both"/>
                              <w:rPr>
                                <w:lang w:val="en-AU"/>
                              </w:rPr>
                            </w:pPr>
                            <w:r w:rsidRPr="005B5B14">
                              <w:rPr>
                                <w:lang w:val="en-AU"/>
                              </w:rPr>
                              <w:t xml:space="preserve">For group-common TPC command in DCI format 2-2, </w:t>
                            </w:r>
                          </w:p>
                          <w:p w14:paraId="6E40D1CB" w14:textId="77777777" w:rsidR="00DE6C17" w:rsidRPr="005B5B14" w:rsidRDefault="00DE6C17" w:rsidP="005B5B14">
                            <w:pPr>
                              <w:snapToGrid w:val="0"/>
                              <w:jc w:val="both"/>
                              <w:rPr>
                                <w:lang w:val="en-AU"/>
                              </w:rPr>
                            </w:pPr>
                            <w:r w:rsidRPr="005B5B14">
                              <w:rPr>
                                <w:lang w:val="en-AU"/>
                              </w:rPr>
                              <w:t xml:space="preserve">One bit </w:t>
                            </w:r>
                            <w:r w:rsidRPr="005B5B14">
                              <w:rPr>
                                <w:i/>
                                <w:lang w:val="en-AU"/>
                              </w:rPr>
                              <w:t>closedloopindex</w:t>
                            </w:r>
                            <w:r w:rsidRPr="005B5B14">
                              <w:rPr>
                                <w:lang w:val="en-AU"/>
                              </w:rPr>
                              <w:t xml:space="preserve"> field is present along with the TPC command in the DCI format 2_2 to indicate which closed loop the TPC command applies to</w:t>
                            </w:r>
                          </w:p>
                          <w:p w14:paraId="47BD519B" w14:textId="77777777" w:rsidR="00DE6C17" w:rsidRPr="005B5B14" w:rsidRDefault="00DE6C17" w:rsidP="005B5B14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napToGrid w:val="0"/>
                              <w:spacing w:after="0" w:line="240" w:lineRule="auto"/>
                              <w:contextualSpacing w:val="0"/>
                              <w:jc w:val="both"/>
                              <w:rPr>
                                <w:lang w:val="en-AU"/>
                              </w:rPr>
                            </w:pPr>
                            <w:r w:rsidRPr="005B5B14">
                              <w:rPr>
                                <w:rFonts w:hint="eastAsia"/>
                                <w:lang w:val="en-AU"/>
                              </w:rPr>
                              <w:t xml:space="preserve">When a UE is configured with 1 closed loop, the bit </w:t>
                            </w:r>
                            <w:r w:rsidRPr="005B5B14">
                              <w:rPr>
                                <w:i/>
                                <w:lang w:val="en-AU"/>
                              </w:rPr>
                              <w:t>closedloopindex</w:t>
                            </w:r>
                            <w:r w:rsidRPr="005B5B14">
                              <w:rPr>
                                <w:lang w:val="en-AU"/>
                              </w:rPr>
                              <w:t xml:space="preserve"> field is NOT present.</w:t>
                            </w:r>
                          </w:p>
                          <w:p w14:paraId="44F080B3" w14:textId="77777777" w:rsidR="00DE6C17" w:rsidRPr="005B5B14" w:rsidRDefault="00DE6C17" w:rsidP="005B5B14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napToGrid w:val="0"/>
                              <w:spacing w:after="0" w:line="240" w:lineRule="auto"/>
                              <w:contextualSpacing w:val="0"/>
                              <w:jc w:val="both"/>
                              <w:rPr>
                                <w:lang w:val="en-AU"/>
                              </w:rPr>
                            </w:pPr>
                            <w:r w:rsidRPr="005B5B14">
                              <w:rPr>
                                <w:rFonts w:hint="eastAsia"/>
                                <w:lang w:val="en-AU"/>
                              </w:rPr>
                              <w:t xml:space="preserve">When a UE is configured with </w:t>
                            </w:r>
                            <w:r w:rsidRPr="005B5B14">
                              <w:rPr>
                                <w:lang w:val="en-AU"/>
                              </w:rPr>
                              <w:t>2</w:t>
                            </w:r>
                            <w:r w:rsidRPr="005B5B14">
                              <w:rPr>
                                <w:rFonts w:hint="eastAsia"/>
                                <w:lang w:val="en-AU"/>
                              </w:rPr>
                              <w:t xml:space="preserve"> closed loop</w:t>
                            </w:r>
                            <w:r w:rsidRPr="005B5B14">
                              <w:rPr>
                                <w:lang w:val="en-AU"/>
                              </w:rPr>
                              <w:t>s</w:t>
                            </w:r>
                            <w:r w:rsidRPr="005B5B14">
                              <w:rPr>
                                <w:rFonts w:hint="eastAsia"/>
                                <w:lang w:val="en-AU"/>
                              </w:rPr>
                              <w:t>, the bit</w:t>
                            </w:r>
                            <w:r w:rsidRPr="005B5B14">
                              <w:rPr>
                                <w:lang w:val="en-AU"/>
                              </w:rPr>
                              <w:t xml:space="preserve"> location of</w:t>
                            </w:r>
                            <w:r w:rsidRPr="005B5B14">
                              <w:rPr>
                                <w:rFonts w:hint="eastAsia"/>
                                <w:lang w:val="en-AU"/>
                              </w:rPr>
                              <w:t xml:space="preserve"> </w:t>
                            </w:r>
                            <w:r w:rsidRPr="005B5B14">
                              <w:rPr>
                                <w:i/>
                                <w:lang w:val="en-AU"/>
                              </w:rPr>
                              <w:t>closedloopindex</w:t>
                            </w:r>
                            <w:r w:rsidRPr="005B5B14">
                              <w:rPr>
                                <w:lang w:val="en-AU"/>
                              </w:rPr>
                              <w:t xml:space="preserve"> field follows the 2 bit TPC command.</w:t>
                            </w:r>
                          </w:p>
                          <w:p w14:paraId="59862140" w14:textId="77777777" w:rsidR="00DE6C17" w:rsidRPr="005B5B14" w:rsidRDefault="00DE6C17" w:rsidP="005B5B14">
                            <w:pPr>
                              <w:rPr>
                                <w:lang w:val="en-AU" w:eastAsia="x-none"/>
                              </w:rPr>
                            </w:pPr>
                            <w:r w:rsidRPr="005B5B14">
                              <w:rPr>
                                <w:lang w:val="en-AU"/>
                              </w:rPr>
                              <w:t>Notes: UE assumes that the start bit of the TPC command is X*tpc_index, where X=3 if configured with 2 closed-loop process, otherwise X=2.</w:t>
                            </w:r>
                          </w:p>
                          <w:p w14:paraId="09F284DD" w14:textId="6A8BA64D" w:rsidR="00DE6C17" w:rsidRPr="005B5B14" w:rsidRDefault="00DE6C17" w:rsidP="005B5B14">
                            <w:pPr>
                              <w:pStyle w:val="B2"/>
                              <w:tabs>
                                <w:tab w:val="num" w:pos="1440"/>
                              </w:tabs>
                              <w:ind w:left="0" w:firstLine="0"/>
                              <w:rPr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8B10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.3pt;width:473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">
                <v:textbox style="mso-fit-shape-to-text:t">
                  <w:txbxContent>
                    <w:p w14:paraId="6080A140" w14:textId="77777777" w:rsidR="00DE6C17" w:rsidRPr="006F6130" w:rsidRDefault="00DE6C17" w:rsidP="005B5B14">
                      <w:pPr>
                        <w:pStyle w:val="ListParagraph4"/>
                        <w:snapToGrid w:val="0"/>
                        <w:spacing w:beforeLines="50" w:before="120"/>
                        <w:ind w:left="0"/>
                        <w:contextualSpacing w:val="0"/>
                        <w:rPr>
                          <w:rFonts w:eastAsia="Malgun Gothic"/>
                          <w:b/>
                          <w:sz w:val="20"/>
                          <w:szCs w:val="21"/>
                        </w:rPr>
                      </w:pPr>
                      <w:r>
                        <w:rPr>
                          <w:rFonts w:eastAsia="Malgun Gothic"/>
                          <w:b/>
                          <w:sz w:val="20"/>
                          <w:szCs w:val="21"/>
                          <w:highlight w:val="green"/>
                        </w:rPr>
                        <w:t>A</w:t>
                      </w:r>
                      <w:r w:rsidRPr="006F6130">
                        <w:rPr>
                          <w:rFonts w:eastAsia="Malgun Gothic"/>
                          <w:b/>
                          <w:sz w:val="20"/>
                          <w:szCs w:val="21"/>
                          <w:highlight w:val="green"/>
                        </w:rPr>
                        <w:t>greement:</w:t>
                      </w:r>
                    </w:p>
                    <w:p w14:paraId="41B71115" w14:textId="77777777" w:rsidR="00DE6C17" w:rsidRPr="005B5B14" w:rsidRDefault="00DE6C17" w:rsidP="005B5B14">
                      <w:pPr>
                        <w:numPr>
                          <w:ilvl w:val="0"/>
                          <w:numId w:val="28"/>
                        </w:numPr>
                        <w:spacing w:after="0" w:line="240" w:lineRule="auto"/>
                        <w:rPr>
                          <w:sz w:val="14"/>
                          <w:szCs w:val="20"/>
                          <w:lang w:val="en-AU" w:eastAsia="x-none"/>
                        </w:rPr>
                      </w:pPr>
                      <w:r w:rsidRPr="005B5B14">
                        <w:rPr>
                          <w:szCs w:val="21"/>
                          <w:lang w:val="en-AU"/>
                        </w:rPr>
                        <w:t>For group-common TPC command in DCI format 2-2, both closed loops can be adjusted dynamically</w:t>
                      </w:r>
                    </w:p>
                    <w:p w14:paraId="27171DA2" w14:textId="77777777" w:rsidR="00DE6C17" w:rsidRPr="005B5B14" w:rsidRDefault="00DE6C17" w:rsidP="005B5B14">
                      <w:pPr>
                        <w:rPr>
                          <w:szCs w:val="20"/>
                          <w:lang w:val="en-AU" w:eastAsia="x-none"/>
                        </w:rPr>
                      </w:pPr>
                    </w:p>
                    <w:p w14:paraId="3CD8A2DF" w14:textId="77777777" w:rsidR="00DE6C17" w:rsidRPr="005B5B14" w:rsidRDefault="00DE6C17" w:rsidP="005B5B14">
                      <w:pPr>
                        <w:rPr>
                          <w:b/>
                          <w:lang w:val="en-AU" w:eastAsia="x-none"/>
                        </w:rPr>
                      </w:pPr>
                      <w:r w:rsidRPr="005B5B14">
                        <w:rPr>
                          <w:b/>
                          <w:highlight w:val="darkYellow"/>
                          <w:lang w:val="en-AU" w:eastAsia="x-none"/>
                        </w:rPr>
                        <w:t>Working Assumption</w:t>
                      </w:r>
                    </w:p>
                    <w:p w14:paraId="5DED28BD" w14:textId="77777777" w:rsidR="00DE6C17" w:rsidRPr="005B5B14" w:rsidRDefault="00DE6C17" w:rsidP="005B5B14">
                      <w:pPr>
                        <w:snapToGrid w:val="0"/>
                        <w:jc w:val="both"/>
                        <w:rPr>
                          <w:lang w:val="en-AU"/>
                        </w:rPr>
                      </w:pPr>
                      <w:r w:rsidRPr="005B5B14">
                        <w:rPr>
                          <w:lang w:val="en-AU"/>
                        </w:rPr>
                        <w:t xml:space="preserve">For group-common TPC command in DCI format 2-2, </w:t>
                      </w:r>
                    </w:p>
                    <w:p w14:paraId="6E40D1CB" w14:textId="77777777" w:rsidR="00DE6C17" w:rsidRPr="005B5B14" w:rsidRDefault="00DE6C17" w:rsidP="005B5B14">
                      <w:pPr>
                        <w:snapToGrid w:val="0"/>
                        <w:jc w:val="both"/>
                        <w:rPr>
                          <w:lang w:val="en-AU"/>
                        </w:rPr>
                      </w:pPr>
                      <w:r w:rsidRPr="005B5B14">
                        <w:rPr>
                          <w:lang w:val="en-AU"/>
                        </w:rPr>
                        <w:t xml:space="preserve">One bit </w:t>
                      </w:r>
                      <w:r w:rsidRPr="005B5B14">
                        <w:rPr>
                          <w:i/>
                          <w:lang w:val="en-AU"/>
                        </w:rPr>
                        <w:t>closedloopindex</w:t>
                      </w:r>
                      <w:r w:rsidRPr="005B5B14">
                        <w:rPr>
                          <w:lang w:val="en-AU"/>
                        </w:rPr>
                        <w:t xml:space="preserve"> field is present along with the TPC command in the DCI format 2_2 to indicate which closed loop the TPC command applies to</w:t>
                      </w:r>
                    </w:p>
                    <w:p w14:paraId="47BD519B" w14:textId="77777777" w:rsidR="00DE6C17" w:rsidRPr="005B5B14" w:rsidRDefault="00DE6C17" w:rsidP="005B5B14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napToGrid w:val="0"/>
                        <w:spacing w:after="0" w:line="240" w:lineRule="auto"/>
                        <w:contextualSpacing w:val="0"/>
                        <w:jc w:val="both"/>
                        <w:rPr>
                          <w:lang w:val="en-AU"/>
                        </w:rPr>
                      </w:pPr>
                      <w:r w:rsidRPr="005B5B14">
                        <w:rPr>
                          <w:rFonts w:hint="eastAsia"/>
                          <w:lang w:val="en-AU"/>
                        </w:rPr>
                        <w:t xml:space="preserve">When a UE is configured with 1 closed loop, the bit </w:t>
                      </w:r>
                      <w:r w:rsidRPr="005B5B14">
                        <w:rPr>
                          <w:i/>
                          <w:lang w:val="en-AU"/>
                        </w:rPr>
                        <w:t>closedloopindex</w:t>
                      </w:r>
                      <w:r w:rsidRPr="005B5B14">
                        <w:rPr>
                          <w:lang w:val="en-AU"/>
                        </w:rPr>
                        <w:t xml:space="preserve"> field is NOT present.</w:t>
                      </w:r>
                    </w:p>
                    <w:p w14:paraId="44F080B3" w14:textId="77777777" w:rsidR="00DE6C17" w:rsidRPr="005B5B14" w:rsidRDefault="00DE6C17" w:rsidP="005B5B14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napToGrid w:val="0"/>
                        <w:spacing w:after="0" w:line="240" w:lineRule="auto"/>
                        <w:contextualSpacing w:val="0"/>
                        <w:jc w:val="both"/>
                        <w:rPr>
                          <w:lang w:val="en-AU"/>
                        </w:rPr>
                      </w:pPr>
                      <w:r w:rsidRPr="005B5B14">
                        <w:rPr>
                          <w:rFonts w:hint="eastAsia"/>
                          <w:lang w:val="en-AU"/>
                        </w:rPr>
                        <w:t xml:space="preserve">When a UE is configured with </w:t>
                      </w:r>
                      <w:r w:rsidRPr="005B5B14">
                        <w:rPr>
                          <w:lang w:val="en-AU"/>
                        </w:rPr>
                        <w:t>2</w:t>
                      </w:r>
                      <w:r w:rsidRPr="005B5B14">
                        <w:rPr>
                          <w:rFonts w:hint="eastAsia"/>
                          <w:lang w:val="en-AU"/>
                        </w:rPr>
                        <w:t xml:space="preserve"> closed loop</w:t>
                      </w:r>
                      <w:r w:rsidRPr="005B5B14">
                        <w:rPr>
                          <w:lang w:val="en-AU"/>
                        </w:rPr>
                        <w:t>s</w:t>
                      </w:r>
                      <w:r w:rsidRPr="005B5B14">
                        <w:rPr>
                          <w:rFonts w:hint="eastAsia"/>
                          <w:lang w:val="en-AU"/>
                        </w:rPr>
                        <w:t>, the bit</w:t>
                      </w:r>
                      <w:r w:rsidRPr="005B5B14">
                        <w:rPr>
                          <w:lang w:val="en-AU"/>
                        </w:rPr>
                        <w:t xml:space="preserve"> location of</w:t>
                      </w:r>
                      <w:r w:rsidRPr="005B5B14">
                        <w:rPr>
                          <w:rFonts w:hint="eastAsia"/>
                          <w:lang w:val="en-AU"/>
                        </w:rPr>
                        <w:t xml:space="preserve"> </w:t>
                      </w:r>
                      <w:r w:rsidRPr="005B5B14">
                        <w:rPr>
                          <w:i/>
                          <w:lang w:val="en-AU"/>
                        </w:rPr>
                        <w:t>closedloopindex</w:t>
                      </w:r>
                      <w:r w:rsidRPr="005B5B14">
                        <w:rPr>
                          <w:lang w:val="en-AU"/>
                        </w:rPr>
                        <w:t xml:space="preserve"> field follows the 2 bit TPC command.</w:t>
                      </w:r>
                    </w:p>
                    <w:p w14:paraId="59862140" w14:textId="77777777" w:rsidR="00DE6C17" w:rsidRPr="005B5B14" w:rsidRDefault="00DE6C17" w:rsidP="005B5B14">
                      <w:pPr>
                        <w:rPr>
                          <w:lang w:val="en-AU" w:eastAsia="x-none"/>
                        </w:rPr>
                      </w:pPr>
                      <w:r w:rsidRPr="005B5B14">
                        <w:rPr>
                          <w:lang w:val="en-AU"/>
                        </w:rPr>
                        <w:t>Notes: UE assumes that the start bit of the TPC command is X*tpc_index, where X=3 if configured with 2 closed-loop process, otherwise X=2.</w:t>
                      </w:r>
                    </w:p>
                    <w:p w14:paraId="09F284DD" w14:textId="6A8BA64D" w:rsidR="00DE6C17" w:rsidRPr="005B5B14" w:rsidRDefault="00DE6C17" w:rsidP="005B5B14">
                      <w:pPr>
                        <w:pStyle w:val="B2"/>
                        <w:tabs>
                          <w:tab w:val="num" w:pos="1440"/>
                        </w:tabs>
                        <w:ind w:left="0" w:firstLine="0"/>
                        <w:rPr>
                          <w:lang w:val="en-A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678DFD2" w14:textId="77777777" w:rsidR="00F60C01" w:rsidRPr="00456794" w:rsidRDefault="00F60C01" w:rsidP="00F60C01">
      <w:pPr>
        <w:rPr>
          <w:b/>
          <w:u w:val="single"/>
        </w:rPr>
      </w:pPr>
      <w:r>
        <w:rPr>
          <w:b/>
          <w:u w:val="single"/>
        </w:rPr>
        <w:t>Proposal</w:t>
      </w:r>
    </w:p>
    <w:p w14:paraId="5C2238BD" w14:textId="337CF342" w:rsidR="005B5B14" w:rsidRPr="00F60C01" w:rsidRDefault="00F60C01" w:rsidP="00F60C01">
      <w:pPr>
        <w:pStyle w:val="ListParagraph"/>
        <w:numPr>
          <w:ilvl w:val="0"/>
          <w:numId w:val="29"/>
        </w:numPr>
        <w:rPr>
          <w:lang w:val="en-GB" w:eastAsia="zh-CN"/>
        </w:rPr>
      </w:pPr>
      <w:r>
        <w:rPr>
          <w:lang w:val="en-GB" w:eastAsia="zh-CN"/>
        </w:rPr>
        <w:t xml:space="preserve">Confirm the working assumption on </w:t>
      </w:r>
      <w:r w:rsidRPr="005B5B14">
        <w:rPr>
          <w:lang w:val="en-AU"/>
        </w:rPr>
        <w:t>group-common TPC</w:t>
      </w:r>
      <w:r>
        <w:rPr>
          <w:lang w:val="en-AU"/>
        </w:rPr>
        <w:t xml:space="preserve"> </w:t>
      </w:r>
      <w:r w:rsidRPr="005B5B14">
        <w:rPr>
          <w:lang w:val="en-AU"/>
        </w:rPr>
        <w:t>in DCI format 2-2</w:t>
      </w:r>
      <w:r>
        <w:rPr>
          <w:lang w:val="en-GB" w:eastAsia="zh-CN"/>
        </w:rPr>
        <w:t xml:space="preserve">. </w:t>
      </w:r>
    </w:p>
    <w:p w14:paraId="79558B3F" w14:textId="5D199A3A" w:rsidR="00183F76" w:rsidRDefault="00183F76" w:rsidP="00183F76">
      <w:pPr>
        <w:pStyle w:val="Heading1"/>
      </w:pPr>
      <w:r>
        <w:lastRenderedPageBreak/>
        <w:t>Limiting closed loop accumulation</w:t>
      </w:r>
    </w:p>
    <w:p w14:paraId="537BDC87" w14:textId="53E505EC" w:rsidR="00183F76" w:rsidRDefault="005D4AC0" w:rsidP="00550442">
      <w:bookmarkStart w:id="1" w:name="_Hlk510732493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827033" wp14:editId="30D7E247">
                <wp:simplePos x="0" y="0"/>
                <wp:positionH relativeFrom="margin">
                  <wp:align>left</wp:align>
                </wp:positionH>
                <wp:positionV relativeFrom="paragraph">
                  <wp:posOffset>239395</wp:posOffset>
                </wp:positionV>
                <wp:extent cx="6009640" cy="1404620"/>
                <wp:effectExtent l="0" t="0" r="1016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9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3C13C" w14:textId="60E23850" w:rsidR="00C2714C" w:rsidRPr="00B916EC" w:rsidRDefault="00C2714C" w:rsidP="00C2714C">
                            <w:pPr>
                              <w:pStyle w:val="B3"/>
                              <w:numPr>
                                <w:ilvl w:val="0"/>
                                <w:numId w:val="14"/>
                              </w:numPr>
                            </w:pPr>
                            <w:r w:rsidRPr="00C2714C">
                              <w:rPr>
                                <w:highlight w:val="yellow"/>
                              </w:rPr>
                              <w:t xml:space="preserve">If the UE has reached </w:t>
                            </w:r>
                            <w:r w:rsidRPr="00C2714C">
                              <w:rPr>
                                <w:position w:val="-12"/>
                                <w:highlight w:val="yellow"/>
                              </w:rPr>
                              <w:object w:dxaOrig="960" w:dyaOrig="320" w14:anchorId="2C1199F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35pt;height:16pt" o:ole="">
                                  <v:imagedata r:id="rId8" o:title=""/>
                                </v:shape>
                                <o:OLEObject Type="Embed" ProgID="Equation.3" ShapeID="_x0000_i1026" DrawAspect="Content" ObjectID="_1587581913" r:id="rId9"/>
                              </w:object>
                            </w:r>
                            <w:r w:rsidRPr="00C2714C">
                              <w:rPr>
                                <w:highlight w:val="yellow"/>
                              </w:rPr>
                              <w:t xml:space="preserve"> for UL BWP</w:t>
                            </w:r>
                            <w:r>
                              <w:t xml:space="preserve"> </w:t>
                            </w:r>
                            <w:r w:rsidRPr="00425377">
                              <w:rPr>
                                <w:iCs/>
                                <w:position w:val="-6"/>
                              </w:rPr>
                              <w:object w:dxaOrig="180" w:dyaOrig="260" w14:anchorId="3A4BF225">
                                <v:shape id="_x0000_i1028" type="#_x0000_t75" style="width:9.35pt;height:14pt" o:ole="">
                                  <v:imagedata r:id="rId10" o:title=""/>
                                </v:shape>
                                <o:OLEObject Type="Embed" ProgID="Equation.3" ShapeID="_x0000_i1028" DrawAspect="Content" ObjectID="_1587581914" r:id="rId11"/>
                              </w:objec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 w:rsidRPr="00B916EC">
                              <w:t xml:space="preserve"> carrier </w:t>
                            </w:r>
                            <w:r w:rsidRPr="00B916EC">
                              <w:rPr>
                                <w:iCs/>
                                <w:position w:val="-10"/>
                              </w:rPr>
                              <w:object w:dxaOrig="220" w:dyaOrig="300" w14:anchorId="0E953A61">
                                <v:shape id="_x0000_i1030" type="#_x0000_t75" style="width:10.65pt;height:16pt" o:ole="">
                                  <v:imagedata r:id="rId12" o:title=""/>
                                </v:shape>
                                <o:OLEObject Type="Embed" ProgID="Equation.3" ShapeID="_x0000_i1030" DrawAspect="Content" ObjectID="_1587581915" r:id="rId13"/>
                              </w:object>
                            </w:r>
                            <w:r w:rsidRPr="00B916EC">
                              <w:rPr>
                                <w:iCs/>
                              </w:rPr>
                              <w:t xml:space="preserve"> of</w:t>
                            </w:r>
                            <w:r w:rsidRPr="00B916EC">
                              <w:t xml:space="preserve"> serving cell </w:t>
                            </w:r>
                            <w:r w:rsidRPr="00B916EC">
                              <w:rPr>
                                <w:position w:val="-6"/>
                              </w:rPr>
                              <w:object w:dxaOrig="160" w:dyaOrig="200" w14:anchorId="0DED52EA">
                                <v:shape id="_x0000_i1032" type="#_x0000_t75" style="width:8.35pt;height:10pt" o:ole="">
                                  <v:imagedata r:id="rId14" o:title=""/>
                                </v:shape>
                                <o:OLEObject Type="Embed" ProgID="Equation.3" ShapeID="_x0000_i1032" DrawAspect="Content" ObjectID="_1587581916" r:id="rId15"/>
                              </w:object>
                            </w:r>
                            <w:r w:rsidRPr="00B916EC">
                              <w:t xml:space="preserve">, </w:t>
                            </w:r>
                            <w:r>
                              <w:t xml:space="preserve">the UE does not accumulate </w:t>
                            </w:r>
                            <w:r w:rsidRPr="00B916EC">
                              <w:t xml:space="preserve">positive TPC commands for </w:t>
                            </w:r>
                            <w:r>
                              <w:t xml:space="preserve">UL BWP </w:t>
                            </w:r>
                            <w:r w:rsidRPr="00425377">
                              <w:rPr>
                                <w:iCs/>
                                <w:position w:val="-6"/>
                              </w:rPr>
                              <w:object w:dxaOrig="180" w:dyaOrig="260" w14:anchorId="64928CE8">
                                <v:shape id="_x0000_i1034" type="#_x0000_t75" style="width:9.35pt;height:14pt" o:ole="">
                                  <v:imagedata r:id="rId10" o:title=""/>
                                </v:shape>
                                <o:OLEObject Type="Embed" ProgID="Equation.3" ShapeID="_x0000_i1034" DrawAspect="Content" ObjectID="_1587581917" r:id="rId16"/>
                              </w:objec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 w:rsidRPr="00B916EC">
                              <w:t xml:space="preserve"> carrier </w:t>
                            </w:r>
                            <w:r w:rsidRPr="00B916EC">
                              <w:rPr>
                                <w:iCs/>
                                <w:position w:val="-10"/>
                              </w:rPr>
                              <w:object w:dxaOrig="220" w:dyaOrig="300" w14:anchorId="65349F6F">
                                <v:shape id="_x0000_i1036" type="#_x0000_t75" style="width:10.65pt;height:16pt" o:ole="">
                                  <v:imagedata r:id="rId12" o:title=""/>
                                </v:shape>
                                <o:OLEObject Type="Embed" ProgID="Equation.3" ShapeID="_x0000_i1036" DrawAspect="Content" ObjectID="_1587581918" r:id="rId17"/>
                              </w:object>
                            </w:r>
                            <w:r w:rsidRPr="00B916EC">
                              <w:rPr>
                                <w:iCs/>
                              </w:rPr>
                              <w:t xml:space="preserve"> of</w:t>
                            </w:r>
                            <w:r w:rsidRPr="00B916EC">
                              <w:t xml:space="preserve"> serving cell </w:t>
                            </w:r>
                            <w:r w:rsidRPr="00B916EC">
                              <w:rPr>
                                <w:position w:val="-6"/>
                              </w:rPr>
                              <w:object w:dxaOrig="160" w:dyaOrig="200" w14:anchorId="2ED54888">
                                <v:shape id="_x0000_i1038" type="#_x0000_t75" style="width:8.35pt;height:10pt" o:ole="">
                                  <v:imagedata r:id="rId14" o:title=""/>
                                </v:shape>
                                <o:OLEObject Type="Embed" ProgID="Equation.3" ShapeID="_x0000_i1038" DrawAspect="Content" ObjectID="_1587581919" r:id="rId18"/>
                              </w:object>
                            </w:r>
                            <w:r w:rsidRPr="00B916EC">
                              <w:t>.</w:t>
                            </w:r>
                          </w:p>
                          <w:p w14:paraId="22BCB43A" w14:textId="6FF2F220" w:rsidR="00DE6C17" w:rsidRPr="005D4AC0" w:rsidRDefault="00C2714C" w:rsidP="00C2714C">
                            <w:pPr>
                              <w:pStyle w:val="B3"/>
                              <w:numPr>
                                <w:ilvl w:val="0"/>
                                <w:numId w:val="14"/>
                              </w:numPr>
                            </w:pPr>
                            <w:r w:rsidRPr="00C2714C">
                              <w:rPr>
                                <w:highlight w:val="yellow"/>
                              </w:rPr>
                              <w:t>If UE has reached minimum power for UL BWP</w:t>
                            </w:r>
                            <w:r>
                              <w:t xml:space="preserve"> </w:t>
                            </w:r>
                            <w:r w:rsidRPr="00425377">
                              <w:rPr>
                                <w:iCs/>
                                <w:position w:val="-6"/>
                              </w:rPr>
                              <w:object w:dxaOrig="180" w:dyaOrig="260" w14:anchorId="474C4FC4">
                                <v:shape id="_x0000_i1040" type="#_x0000_t75" style="width:9.35pt;height:14pt" o:ole="">
                                  <v:imagedata r:id="rId10" o:title=""/>
                                </v:shape>
                                <o:OLEObject Type="Embed" ProgID="Equation.3" ShapeID="_x0000_i1040" DrawAspect="Content" ObjectID="_1587581920" r:id="rId19"/>
                              </w:objec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 w:rsidRPr="00B916EC">
                              <w:t xml:space="preserve"> carrier </w:t>
                            </w:r>
                            <w:r w:rsidRPr="00B916EC">
                              <w:rPr>
                                <w:iCs/>
                                <w:position w:val="-10"/>
                              </w:rPr>
                              <w:object w:dxaOrig="220" w:dyaOrig="300" w14:anchorId="559CDB2F">
                                <v:shape id="_x0000_i1042" type="#_x0000_t75" style="width:10.65pt;height:16pt" o:ole="">
                                  <v:imagedata r:id="rId12" o:title=""/>
                                </v:shape>
                                <o:OLEObject Type="Embed" ProgID="Equation.3" ShapeID="_x0000_i1042" DrawAspect="Content" ObjectID="_1587581921" r:id="rId20"/>
                              </w:object>
                            </w:r>
                            <w:r w:rsidRPr="00B916EC">
                              <w:rPr>
                                <w:iCs/>
                              </w:rPr>
                              <w:t xml:space="preserve"> of </w:t>
                            </w:r>
                            <w:r w:rsidRPr="00B916EC">
                              <w:t xml:space="preserve">serving cell </w:t>
                            </w:r>
                            <w:r w:rsidRPr="00B916EC">
                              <w:rPr>
                                <w:position w:val="-6"/>
                              </w:rPr>
                              <w:object w:dxaOrig="160" w:dyaOrig="200" w14:anchorId="7D9170C3">
                                <v:shape id="_x0000_i1044" type="#_x0000_t75" style="width:8.35pt;height:10pt" o:ole="">
                                  <v:imagedata r:id="rId14" o:title=""/>
                                </v:shape>
                                <o:OLEObject Type="Embed" ProgID="Equation.3" ShapeID="_x0000_i1044" DrawAspect="Content" ObjectID="_1587581922" r:id="rId21"/>
                              </w:object>
                            </w:r>
                            <w:r w:rsidRPr="00B916EC">
                              <w:t xml:space="preserve">, </w:t>
                            </w:r>
                            <w:r>
                              <w:t xml:space="preserve">the UE does not accumulate </w:t>
                            </w:r>
                            <w:r w:rsidRPr="00B916EC">
                              <w:t xml:space="preserve">negative TPC commands for </w:t>
                            </w:r>
                            <w:r>
                              <w:t xml:space="preserve">UL BWP </w:t>
                            </w:r>
                            <w:r w:rsidRPr="00425377">
                              <w:rPr>
                                <w:iCs/>
                                <w:position w:val="-6"/>
                              </w:rPr>
                              <w:object w:dxaOrig="180" w:dyaOrig="260" w14:anchorId="4F9FEF1C">
                                <v:shape id="_x0000_i1046" type="#_x0000_t75" style="width:9.35pt;height:14pt" o:ole="">
                                  <v:imagedata r:id="rId10" o:title=""/>
                                </v:shape>
                                <o:OLEObject Type="Embed" ProgID="Equation.3" ShapeID="_x0000_i1046" DrawAspect="Content" ObjectID="_1587581923" r:id="rId22"/>
                              </w:objec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 w:rsidRPr="00B916EC">
                              <w:t xml:space="preserve"> carrier </w:t>
                            </w:r>
                            <w:r w:rsidRPr="00B916EC">
                              <w:rPr>
                                <w:iCs/>
                                <w:position w:val="-10"/>
                              </w:rPr>
                              <w:object w:dxaOrig="220" w:dyaOrig="300" w14:anchorId="45A4F231">
                                <v:shape id="_x0000_i1048" type="#_x0000_t75" style="width:10.65pt;height:15.65pt" o:ole="">
                                  <v:imagedata r:id="rId12" o:title=""/>
                                </v:shape>
                                <o:OLEObject Type="Embed" ProgID="Equation.3" ShapeID="_x0000_i1048" DrawAspect="Content" ObjectID="_1587581924" r:id="rId23"/>
                              </w:object>
                            </w:r>
                            <w:r w:rsidRPr="00B916EC">
                              <w:rPr>
                                <w:iCs/>
                              </w:rPr>
                              <w:t xml:space="preserve"> of </w:t>
                            </w:r>
                            <w:r w:rsidRPr="00B916EC">
                              <w:t xml:space="preserve">serving cell </w:t>
                            </w:r>
                            <w:r w:rsidRPr="00B916EC">
                              <w:rPr>
                                <w:position w:val="-6"/>
                              </w:rPr>
                              <w:object w:dxaOrig="160" w:dyaOrig="200" w14:anchorId="63EC26A7">
                                <v:shape id="_x0000_i1050" type="#_x0000_t75" style="width:8.35pt;height:10pt" o:ole="">
                                  <v:imagedata r:id="rId14" o:title=""/>
                                </v:shape>
                                <o:OLEObject Type="Embed" ProgID="Equation.3" ShapeID="_x0000_i1050" DrawAspect="Content" ObjectID="_1587581925" r:id="rId24"/>
                              </w:object>
                            </w:r>
                            <w:r w:rsidRPr="00B916EC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827033" id="_x0000_s1027" type="#_x0000_t202" style="position:absolute;margin-left:0;margin-top:18.85pt;width:473.2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">
                <v:textbox style="mso-fit-shape-to-text:t">
                  <w:txbxContent>
                    <w:p w14:paraId="7593C13C" w14:textId="60E23850" w:rsidR="00C2714C" w:rsidRPr="00B916EC" w:rsidRDefault="00C2714C" w:rsidP="00C2714C">
                      <w:pPr>
                        <w:pStyle w:val="B3"/>
                        <w:numPr>
                          <w:ilvl w:val="0"/>
                          <w:numId w:val="14"/>
                        </w:numPr>
                      </w:pPr>
                      <w:r w:rsidRPr="00C2714C">
                        <w:rPr>
                          <w:highlight w:val="yellow"/>
                        </w:rPr>
                        <w:t xml:space="preserve">If the UE has reached </w:t>
                      </w:r>
                      <w:r w:rsidRPr="00C2714C">
                        <w:rPr>
                          <w:position w:val="-12"/>
                          <w:highlight w:val="yellow"/>
                        </w:rPr>
                        <w:object w:dxaOrig="960" w:dyaOrig="320" w14:anchorId="2C1199F4">
                          <v:shape id="_x0000_i1026" type="#_x0000_t75" style="width:49.35pt;height:16pt" o:ole="">
                            <v:imagedata r:id="rId8" o:title=""/>
                          </v:shape>
                          <o:OLEObject Type="Embed" ProgID="Equation.3" ShapeID="_x0000_i1026" DrawAspect="Content" ObjectID="_1587581913" r:id="rId25"/>
                        </w:object>
                      </w:r>
                      <w:r w:rsidRPr="00C2714C">
                        <w:rPr>
                          <w:highlight w:val="yellow"/>
                        </w:rPr>
                        <w:t xml:space="preserve"> for UL BWP</w:t>
                      </w:r>
                      <w:r>
                        <w:t xml:space="preserve"> </w:t>
                      </w:r>
                      <w:r w:rsidRPr="00425377">
                        <w:rPr>
                          <w:iCs/>
                          <w:position w:val="-6"/>
                        </w:rPr>
                        <w:object w:dxaOrig="180" w:dyaOrig="260" w14:anchorId="3A4BF225">
                          <v:shape id="_x0000_i1028" type="#_x0000_t75" style="width:9.35pt;height:14pt" o:ole="">
                            <v:imagedata r:id="rId10" o:title=""/>
                          </v:shape>
                          <o:OLEObject Type="Embed" ProgID="Equation.3" ShapeID="_x0000_i1028" DrawAspect="Content" ObjectID="_1587581914" r:id="rId26"/>
                        </w:object>
                      </w:r>
                      <w:r>
                        <w:rPr>
                          <w:iCs/>
                        </w:rPr>
                        <w:t xml:space="preserve"> </w:t>
                      </w:r>
                      <w:r>
                        <w:t>of</w:t>
                      </w:r>
                      <w:r w:rsidRPr="00B916EC">
                        <w:t xml:space="preserve"> carrier </w:t>
                      </w:r>
                      <w:r w:rsidRPr="00B916EC">
                        <w:rPr>
                          <w:iCs/>
                          <w:position w:val="-10"/>
                        </w:rPr>
                        <w:object w:dxaOrig="220" w:dyaOrig="300" w14:anchorId="0E953A61">
                          <v:shape id="_x0000_i1030" type="#_x0000_t75" style="width:10.65pt;height:16pt" o:ole="">
                            <v:imagedata r:id="rId12" o:title=""/>
                          </v:shape>
                          <o:OLEObject Type="Embed" ProgID="Equation.3" ShapeID="_x0000_i1030" DrawAspect="Content" ObjectID="_1587581915" r:id="rId27"/>
                        </w:object>
                      </w:r>
                      <w:r w:rsidRPr="00B916EC">
                        <w:rPr>
                          <w:iCs/>
                        </w:rPr>
                        <w:t xml:space="preserve"> of</w:t>
                      </w:r>
                      <w:r w:rsidRPr="00B916EC">
                        <w:t xml:space="preserve"> serving cell </w:t>
                      </w:r>
                      <w:r w:rsidRPr="00B916EC">
                        <w:rPr>
                          <w:position w:val="-6"/>
                        </w:rPr>
                        <w:object w:dxaOrig="160" w:dyaOrig="200" w14:anchorId="0DED52EA">
                          <v:shape id="_x0000_i1032" type="#_x0000_t75" style="width:8.35pt;height:10pt" o:ole="">
                            <v:imagedata r:id="rId14" o:title=""/>
                          </v:shape>
                          <o:OLEObject Type="Embed" ProgID="Equation.3" ShapeID="_x0000_i1032" DrawAspect="Content" ObjectID="_1587581916" r:id="rId28"/>
                        </w:object>
                      </w:r>
                      <w:r w:rsidRPr="00B916EC">
                        <w:t xml:space="preserve">, </w:t>
                      </w:r>
                      <w:r>
                        <w:t xml:space="preserve">the UE does not accumulate </w:t>
                      </w:r>
                      <w:r w:rsidRPr="00B916EC">
                        <w:t xml:space="preserve">positive TPC commands for </w:t>
                      </w:r>
                      <w:r>
                        <w:t xml:space="preserve">UL BWP </w:t>
                      </w:r>
                      <w:r w:rsidRPr="00425377">
                        <w:rPr>
                          <w:iCs/>
                          <w:position w:val="-6"/>
                        </w:rPr>
                        <w:object w:dxaOrig="180" w:dyaOrig="260" w14:anchorId="64928CE8">
                          <v:shape id="_x0000_i1034" type="#_x0000_t75" style="width:9.35pt;height:14pt" o:ole="">
                            <v:imagedata r:id="rId10" o:title=""/>
                          </v:shape>
                          <o:OLEObject Type="Embed" ProgID="Equation.3" ShapeID="_x0000_i1034" DrawAspect="Content" ObjectID="_1587581917" r:id="rId29"/>
                        </w:object>
                      </w:r>
                      <w:r>
                        <w:rPr>
                          <w:iCs/>
                        </w:rPr>
                        <w:t xml:space="preserve"> </w:t>
                      </w:r>
                      <w:r>
                        <w:t>of</w:t>
                      </w:r>
                      <w:r w:rsidRPr="00B916EC">
                        <w:t xml:space="preserve"> carrier </w:t>
                      </w:r>
                      <w:r w:rsidRPr="00B916EC">
                        <w:rPr>
                          <w:iCs/>
                          <w:position w:val="-10"/>
                        </w:rPr>
                        <w:object w:dxaOrig="220" w:dyaOrig="300" w14:anchorId="65349F6F">
                          <v:shape id="_x0000_i1036" type="#_x0000_t75" style="width:10.65pt;height:16pt" o:ole="">
                            <v:imagedata r:id="rId12" o:title=""/>
                          </v:shape>
                          <o:OLEObject Type="Embed" ProgID="Equation.3" ShapeID="_x0000_i1036" DrawAspect="Content" ObjectID="_1587581918" r:id="rId30"/>
                        </w:object>
                      </w:r>
                      <w:r w:rsidRPr="00B916EC">
                        <w:rPr>
                          <w:iCs/>
                        </w:rPr>
                        <w:t xml:space="preserve"> of</w:t>
                      </w:r>
                      <w:r w:rsidRPr="00B916EC">
                        <w:t xml:space="preserve"> serving cell </w:t>
                      </w:r>
                      <w:r w:rsidRPr="00B916EC">
                        <w:rPr>
                          <w:position w:val="-6"/>
                        </w:rPr>
                        <w:object w:dxaOrig="160" w:dyaOrig="200" w14:anchorId="2ED54888">
                          <v:shape id="_x0000_i1038" type="#_x0000_t75" style="width:8.35pt;height:10pt" o:ole="">
                            <v:imagedata r:id="rId14" o:title=""/>
                          </v:shape>
                          <o:OLEObject Type="Embed" ProgID="Equation.3" ShapeID="_x0000_i1038" DrawAspect="Content" ObjectID="_1587581919" r:id="rId31"/>
                        </w:object>
                      </w:r>
                      <w:r w:rsidRPr="00B916EC">
                        <w:t>.</w:t>
                      </w:r>
                    </w:p>
                    <w:p w14:paraId="22BCB43A" w14:textId="6FF2F220" w:rsidR="00DE6C17" w:rsidRPr="005D4AC0" w:rsidRDefault="00C2714C" w:rsidP="00C2714C">
                      <w:pPr>
                        <w:pStyle w:val="B3"/>
                        <w:numPr>
                          <w:ilvl w:val="0"/>
                          <w:numId w:val="14"/>
                        </w:numPr>
                      </w:pPr>
                      <w:r w:rsidRPr="00C2714C">
                        <w:rPr>
                          <w:highlight w:val="yellow"/>
                        </w:rPr>
                        <w:t>If UE has reached minimum power for UL BWP</w:t>
                      </w:r>
                      <w:r>
                        <w:t xml:space="preserve"> </w:t>
                      </w:r>
                      <w:r w:rsidRPr="00425377">
                        <w:rPr>
                          <w:iCs/>
                          <w:position w:val="-6"/>
                        </w:rPr>
                        <w:object w:dxaOrig="180" w:dyaOrig="260" w14:anchorId="474C4FC4">
                          <v:shape id="_x0000_i1040" type="#_x0000_t75" style="width:9.35pt;height:14pt" o:ole="">
                            <v:imagedata r:id="rId10" o:title=""/>
                          </v:shape>
                          <o:OLEObject Type="Embed" ProgID="Equation.3" ShapeID="_x0000_i1040" DrawAspect="Content" ObjectID="_1587581920" r:id="rId32"/>
                        </w:object>
                      </w:r>
                      <w:r>
                        <w:rPr>
                          <w:iCs/>
                        </w:rPr>
                        <w:t xml:space="preserve"> </w:t>
                      </w:r>
                      <w:r>
                        <w:t>of</w:t>
                      </w:r>
                      <w:r w:rsidRPr="00B916EC">
                        <w:t xml:space="preserve"> carrier </w:t>
                      </w:r>
                      <w:r w:rsidRPr="00B916EC">
                        <w:rPr>
                          <w:iCs/>
                          <w:position w:val="-10"/>
                        </w:rPr>
                        <w:object w:dxaOrig="220" w:dyaOrig="300" w14:anchorId="559CDB2F">
                          <v:shape id="_x0000_i1042" type="#_x0000_t75" style="width:10.65pt;height:16pt" o:ole="">
                            <v:imagedata r:id="rId12" o:title=""/>
                          </v:shape>
                          <o:OLEObject Type="Embed" ProgID="Equation.3" ShapeID="_x0000_i1042" DrawAspect="Content" ObjectID="_1587581921" r:id="rId33"/>
                        </w:object>
                      </w:r>
                      <w:r w:rsidRPr="00B916EC">
                        <w:rPr>
                          <w:iCs/>
                        </w:rPr>
                        <w:t xml:space="preserve"> of </w:t>
                      </w:r>
                      <w:r w:rsidRPr="00B916EC">
                        <w:t xml:space="preserve">serving cell </w:t>
                      </w:r>
                      <w:r w:rsidRPr="00B916EC">
                        <w:rPr>
                          <w:position w:val="-6"/>
                        </w:rPr>
                        <w:object w:dxaOrig="160" w:dyaOrig="200" w14:anchorId="7D9170C3">
                          <v:shape id="_x0000_i1044" type="#_x0000_t75" style="width:8.35pt;height:10pt" o:ole="">
                            <v:imagedata r:id="rId14" o:title=""/>
                          </v:shape>
                          <o:OLEObject Type="Embed" ProgID="Equation.3" ShapeID="_x0000_i1044" DrawAspect="Content" ObjectID="_1587581922" r:id="rId34"/>
                        </w:object>
                      </w:r>
                      <w:r w:rsidRPr="00B916EC">
                        <w:t xml:space="preserve">, </w:t>
                      </w:r>
                      <w:r>
                        <w:t xml:space="preserve">the UE does not accumulate </w:t>
                      </w:r>
                      <w:r w:rsidRPr="00B916EC">
                        <w:t xml:space="preserve">negative TPC commands for </w:t>
                      </w:r>
                      <w:r>
                        <w:t xml:space="preserve">UL BWP </w:t>
                      </w:r>
                      <w:r w:rsidRPr="00425377">
                        <w:rPr>
                          <w:iCs/>
                          <w:position w:val="-6"/>
                        </w:rPr>
                        <w:object w:dxaOrig="180" w:dyaOrig="260" w14:anchorId="4F9FEF1C">
                          <v:shape id="_x0000_i1046" type="#_x0000_t75" style="width:9.35pt;height:14pt" o:ole="">
                            <v:imagedata r:id="rId10" o:title=""/>
                          </v:shape>
                          <o:OLEObject Type="Embed" ProgID="Equation.3" ShapeID="_x0000_i1046" DrawAspect="Content" ObjectID="_1587581923" r:id="rId35"/>
                        </w:object>
                      </w:r>
                      <w:r>
                        <w:rPr>
                          <w:iCs/>
                        </w:rPr>
                        <w:t xml:space="preserve"> </w:t>
                      </w:r>
                      <w:r>
                        <w:t>of</w:t>
                      </w:r>
                      <w:r w:rsidRPr="00B916EC">
                        <w:t xml:space="preserve"> carrier </w:t>
                      </w:r>
                      <w:r w:rsidRPr="00B916EC">
                        <w:rPr>
                          <w:iCs/>
                          <w:position w:val="-10"/>
                        </w:rPr>
                        <w:object w:dxaOrig="220" w:dyaOrig="300" w14:anchorId="45A4F231">
                          <v:shape id="_x0000_i1048" type="#_x0000_t75" style="width:10.65pt;height:15.65pt" o:ole="">
                            <v:imagedata r:id="rId12" o:title=""/>
                          </v:shape>
                          <o:OLEObject Type="Embed" ProgID="Equation.3" ShapeID="_x0000_i1048" DrawAspect="Content" ObjectID="_1587581924" r:id="rId36"/>
                        </w:object>
                      </w:r>
                      <w:r w:rsidRPr="00B916EC">
                        <w:rPr>
                          <w:iCs/>
                        </w:rPr>
                        <w:t xml:space="preserve"> of </w:t>
                      </w:r>
                      <w:r w:rsidRPr="00B916EC">
                        <w:t xml:space="preserve">serving cell </w:t>
                      </w:r>
                      <w:r w:rsidRPr="00B916EC">
                        <w:rPr>
                          <w:position w:val="-6"/>
                        </w:rPr>
                        <w:object w:dxaOrig="160" w:dyaOrig="200" w14:anchorId="63EC26A7">
                          <v:shape id="_x0000_i1050" type="#_x0000_t75" style="width:8.35pt;height:10pt" o:ole="">
                            <v:imagedata r:id="rId14" o:title=""/>
                          </v:shape>
                          <o:OLEObject Type="Embed" ProgID="Equation.3" ShapeID="_x0000_i1050" DrawAspect="Content" ObjectID="_1587581925" r:id="rId37"/>
                        </w:object>
                      </w:r>
                      <w:r w:rsidRPr="00B916EC"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For PUSCH power control the following is specified </w:t>
      </w:r>
      <w:r w:rsidR="008A27CF">
        <w:t>in TS 38.213</w:t>
      </w:r>
    </w:p>
    <w:p w14:paraId="48418C1B" w14:textId="5B91F393" w:rsidR="005D4AC0" w:rsidRPr="0051033A" w:rsidRDefault="005D4AC0" w:rsidP="00550442">
      <w:pPr>
        <w:rPr>
          <w:lang w:val="en-AU"/>
        </w:rPr>
      </w:pPr>
      <w:r>
        <w:t xml:space="preserve">Hence, there is </w:t>
      </w:r>
      <w:r w:rsidR="00AF2DF4">
        <w:t xml:space="preserve">just as in LTE a </w:t>
      </w:r>
      <w:r>
        <w:t>condition that limits the closed loop accumulation when a UE’s power control loop has reached a level that is above (below) the maximum (minimum) output power of the UE. However, with the introduction of beam specific power control</w:t>
      </w:r>
      <w:r w:rsidR="00185A69">
        <w:t xml:space="preserve">, given by </w:t>
      </w:r>
      <w:r w:rsidR="00185A69" w:rsidRPr="00FD04C1">
        <w:rPr>
          <w:position w:val="-14"/>
        </w:rPr>
        <w:object w:dxaOrig="1820" w:dyaOrig="380" w14:anchorId="005AF673">
          <v:shape id="_x0000_i1051" type="#_x0000_t75" style="width:91pt;height:19pt" o:ole="">
            <v:imagedata r:id="rId38" o:title=""/>
          </v:shape>
          <o:OLEObject Type="Embed" ProgID="Equation.3" ShapeID="_x0000_i1051" DrawAspect="Content" ObjectID="_1587581844" r:id="rId39"/>
        </w:object>
      </w:r>
      <w:r w:rsidR="00185A69" w:rsidRPr="0051033A">
        <w:rPr>
          <w:lang w:val="en-AU"/>
        </w:rPr>
        <w:t>,</w:t>
      </w:r>
      <w:r>
        <w:t xml:space="preserve"> the statement above is ambiguous. </w:t>
      </w:r>
      <w:r w:rsidR="00185A69">
        <w:t xml:space="preserve">It may for instance be so that </w:t>
      </w:r>
      <w:r w:rsidR="00185A69" w:rsidRPr="00185A69">
        <w:rPr>
          <w:position w:val="-16"/>
        </w:rPr>
        <w:object w:dxaOrig="3379" w:dyaOrig="400" w14:anchorId="45E1B201">
          <v:shape id="_x0000_i1052" type="#_x0000_t75" style="width:168.8pt;height:19.9pt" o:ole="">
            <v:imagedata r:id="rId40" o:title=""/>
          </v:shape>
          <o:OLEObject Type="Embed" ProgID="Equation.3" ShapeID="_x0000_i1052" DrawAspect="Content" ObjectID="_1587581845" r:id="rId41"/>
        </w:object>
      </w:r>
      <w:r>
        <w:t xml:space="preserve"> </w:t>
      </w:r>
      <w:r w:rsidR="00185A69">
        <w:t xml:space="preserve">whereas </w:t>
      </w:r>
      <w:r w:rsidR="00185A69" w:rsidRPr="00185A69">
        <w:rPr>
          <w:position w:val="-16"/>
        </w:rPr>
        <w:object w:dxaOrig="3460" w:dyaOrig="400" w14:anchorId="6BBEAE2F">
          <v:shape id="_x0000_i1053" type="#_x0000_t75" style="width:173.15pt;height:19.9pt" o:ole="">
            <v:imagedata r:id="rId42" o:title=""/>
          </v:shape>
          <o:OLEObject Type="Embed" ProgID="Equation.3" ShapeID="_x0000_i1053" DrawAspect="Content" ObjectID="_1587581846" r:id="rId43"/>
        </w:object>
      </w:r>
      <w:r w:rsidR="00185A69" w:rsidRPr="0051033A">
        <w:rPr>
          <w:lang w:val="en-AU"/>
        </w:rPr>
        <w:t xml:space="preserve">. Hence, some power control loops may have reached its maximal power whereas some have not. </w:t>
      </w:r>
    </w:p>
    <w:bookmarkEnd w:id="1"/>
    <w:p w14:paraId="34B3A9F4" w14:textId="1B2F6DF6" w:rsidR="00456794" w:rsidRPr="00456794" w:rsidRDefault="00905990" w:rsidP="00456794">
      <w:pPr>
        <w:rPr>
          <w:b/>
          <w:u w:val="single"/>
        </w:rPr>
      </w:pPr>
      <w:r>
        <w:rPr>
          <w:b/>
          <w:u w:val="single"/>
        </w:rPr>
        <w:t>Observation</w:t>
      </w:r>
    </w:p>
    <w:p w14:paraId="468FAC4B" w14:textId="652FD9DE" w:rsidR="001B040D" w:rsidRPr="004967EC" w:rsidRDefault="00905990" w:rsidP="007651FB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4967EC">
        <w:rPr>
          <w:rFonts w:asciiTheme="minorHAnsi" w:hAnsiTheme="minorHAnsi"/>
        </w:rPr>
        <w:t>The current 38.213 specification is</w:t>
      </w:r>
      <w:r w:rsidR="001B040D" w:rsidRPr="004967EC">
        <w:rPr>
          <w:rFonts w:asciiTheme="minorHAnsi" w:hAnsiTheme="minorHAnsi"/>
        </w:rPr>
        <w:t xml:space="preserve"> </w:t>
      </w:r>
      <w:r w:rsidRPr="004967EC">
        <w:rPr>
          <w:rFonts w:asciiTheme="minorHAnsi" w:hAnsiTheme="minorHAnsi"/>
        </w:rPr>
        <w:t>ambiguous</w:t>
      </w:r>
      <w:r w:rsidR="001B040D" w:rsidRPr="004967EC">
        <w:rPr>
          <w:rFonts w:asciiTheme="minorHAnsi" w:hAnsiTheme="minorHAnsi"/>
        </w:rPr>
        <w:t xml:space="preserve"> </w:t>
      </w:r>
      <w:r w:rsidR="00AF2DF4" w:rsidRPr="004967EC">
        <w:rPr>
          <w:rFonts w:asciiTheme="minorHAnsi" w:hAnsiTheme="minorHAnsi"/>
        </w:rPr>
        <w:t xml:space="preserve">on </w:t>
      </w:r>
      <w:r w:rsidR="005C15F6" w:rsidRPr="004967EC">
        <w:rPr>
          <w:rFonts w:asciiTheme="minorHAnsi" w:hAnsiTheme="minorHAnsi"/>
        </w:rPr>
        <w:t xml:space="preserve">when </w:t>
      </w:r>
      <w:r w:rsidR="00AF2DF4" w:rsidRPr="004967EC">
        <w:rPr>
          <w:rFonts w:asciiTheme="minorHAnsi" w:hAnsiTheme="minorHAnsi"/>
        </w:rPr>
        <w:t>a</w:t>
      </w:r>
      <w:r w:rsidR="005C15F6" w:rsidRPr="004967EC">
        <w:rPr>
          <w:rFonts w:asciiTheme="minorHAnsi" w:hAnsiTheme="minorHAnsi"/>
        </w:rPr>
        <w:t xml:space="preserve"> UE should limit closed loop accumulation. </w:t>
      </w:r>
    </w:p>
    <w:p w14:paraId="1DFF1013" w14:textId="4D0C2C2D" w:rsidR="00123F18" w:rsidRPr="004E6076" w:rsidRDefault="004E6076" w:rsidP="004E6076">
      <w:pPr>
        <w:pStyle w:val="Heading2"/>
        <w:rPr>
          <w:lang w:val="en-US"/>
        </w:rPr>
      </w:pPr>
      <w:r w:rsidRPr="004E6076">
        <w:rPr>
          <w:lang w:val="en-US"/>
        </w:rPr>
        <w:t>Limiting closed loop accumulation</w:t>
      </w:r>
      <w:r w:rsidR="00123F18" w:rsidRPr="004E6076">
        <w:rPr>
          <w:lang w:val="en-US"/>
        </w:rPr>
        <w:t xml:space="preserve"> </w:t>
      </w:r>
      <w:r>
        <w:rPr>
          <w:lang w:val="en-US"/>
        </w:rPr>
        <w:t>for</w:t>
      </w:r>
      <w:r w:rsidR="00123F18" w:rsidRPr="004E6076">
        <w:rPr>
          <w:lang w:val="en-US"/>
        </w:rPr>
        <w:t xml:space="preserve"> DCI </w:t>
      </w:r>
      <w:r w:rsidR="00160D2A" w:rsidRPr="004E6076">
        <w:rPr>
          <w:lang w:val="en-US"/>
        </w:rPr>
        <w:t>format 0_</w:t>
      </w:r>
      <w:r w:rsidR="008A27CF" w:rsidRPr="004E6076">
        <w:rPr>
          <w:lang w:val="en-US"/>
        </w:rPr>
        <w:t>0, 0</w:t>
      </w:r>
      <w:r w:rsidR="00160D2A" w:rsidRPr="004E6076">
        <w:rPr>
          <w:lang w:val="en-US"/>
        </w:rPr>
        <w:t>_1</w:t>
      </w:r>
      <w:r w:rsidR="00662419" w:rsidRPr="004E6076">
        <w:rPr>
          <w:lang w:val="en-US"/>
        </w:rPr>
        <w:t>, 1_0 and 1_1</w:t>
      </w:r>
    </w:p>
    <w:p w14:paraId="118AAACD" w14:textId="77C61042" w:rsidR="0086462F" w:rsidRPr="0051033A" w:rsidRDefault="00123F18" w:rsidP="00550442">
      <w:pPr>
        <w:rPr>
          <w:lang w:val="en-AU"/>
        </w:rPr>
      </w:pPr>
      <w:r>
        <w:rPr>
          <w:lang w:val="en-AU"/>
        </w:rPr>
        <w:t>If the UE receives a PDCCH with a DCI associated with an UL grant</w:t>
      </w:r>
      <w:r w:rsidR="0086462F">
        <w:rPr>
          <w:lang w:val="en-AU"/>
        </w:rPr>
        <w:t xml:space="preserve"> this grant will </w:t>
      </w:r>
      <w:r w:rsidR="00D93762">
        <w:rPr>
          <w:lang w:val="en-AU"/>
        </w:rPr>
        <w:t>correspond</w:t>
      </w:r>
      <w:r w:rsidR="0086462F">
        <w:rPr>
          <w:lang w:val="en-AU"/>
        </w:rPr>
        <w:t xml:space="preserve"> </w:t>
      </w:r>
      <w:r w:rsidR="00D93762">
        <w:rPr>
          <w:lang w:val="en-AU"/>
        </w:rPr>
        <w:t xml:space="preserve">to </w:t>
      </w:r>
      <w:r w:rsidR="0086462F">
        <w:rPr>
          <w:lang w:val="en-AU"/>
        </w:rPr>
        <w:t xml:space="preserve">a certain </w:t>
      </w:r>
      <w:r w:rsidR="00B45902" w:rsidRPr="00185A69">
        <w:rPr>
          <w:position w:val="-16"/>
        </w:rPr>
        <w:object w:dxaOrig="1939" w:dyaOrig="400" w14:anchorId="3A1BD2AD">
          <v:shape id="_x0000_i1054" type="#_x0000_t75" style="width:96.75pt;height:19.9pt" o:ole="">
            <v:imagedata r:id="rId44" o:title=""/>
          </v:shape>
          <o:OLEObject Type="Embed" ProgID="Equation.3" ShapeID="_x0000_i1054" DrawAspect="Content" ObjectID="_1587581847" r:id="rId45"/>
        </w:object>
      </w:r>
      <w:r w:rsidR="0086462F" w:rsidRPr="0051033A">
        <w:rPr>
          <w:lang w:val="en-AU"/>
        </w:rPr>
        <w:t xml:space="preserve"> and the TPC will be applied to the corresponding</w:t>
      </w:r>
      <w:r w:rsidR="00DA35B7" w:rsidRPr="0051033A">
        <w:rPr>
          <w:lang w:val="en-AU"/>
        </w:rPr>
        <w:t xml:space="preserve"> closed loop as given by the index</w:t>
      </w:r>
      <w:r w:rsidR="0086462F" w:rsidRPr="0051033A">
        <w:rPr>
          <w:lang w:val="en-AU"/>
        </w:rPr>
        <w:t xml:space="preserve"> </w:t>
      </w:r>
      <w:r w:rsidR="008B51CA" w:rsidRPr="00905990">
        <w:rPr>
          <w:position w:val="-14"/>
        </w:rPr>
        <w:object w:dxaOrig="200" w:dyaOrig="380" w14:anchorId="5EB1FB03">
          <v:shape id="_x0000_i1055" type="#_x0000_t75" style="width:10.15pt;height:19.45pt" o:ole="">
            <v:imagedata r:id="rId46" o:title=""/>
          </v:shape>
          <o:OLEObject Type="Embed" ProgID="Equation.3" ShapeID="_x0000_i1055" DrawAspect="Content" ObjectID="_1587581848" r:id="rId47"/>
        </w:object>
      </w:r>
      <w:r w:rsidR="0086462F" w:rsidRPr="0051033A">
        <w:rPr>
          <w:lang w:val="en-AU"/>
        </w:rPr>
        <w:t xml:space="preserve">. A natural interpretation of the statement “If </w:t>
      </w:r>
      <w:r w:rsidR="0086462F">
        <w:t xml:space="preserve">the </w:t>
      </w:r>
      <w:r w:rsidR="0086462F" w:rsidRPr="0051033A">
        <w:rPr>
          <w:lang w:val="en-AU"/>
        </w:rPr>
        <w:t xml:space="preserve">UE has reached </w:t>
      </w:r>
      <w:r w:rsidR="0086462F" w:rsidRPr="005D4AC0">
        <w:rPr>
          <w:position w:val="-14"/>
          <w:lang w:val="x-none"/>
        </w:rPr>
        <w:object w:dxaOrig="1080" w:dyaOrig="380" w14:anchorId="458DF67C">
          <v:shape id="_x0000_i1056" type="#_x0000_t75" style="width:54.3pt;height:19pt" o:ole="">
            <v:imagedata r:id="rId48" o:title=""/>
          </v:shape>
          <o:OLEObject Type="Embed" ProgID="Equation.3" ShapeID="_x0000_i1056" DrawAspect="Content" ObjectID="_1587581849" r:id="rId49"/>
        </w:object>
      </w:r>
      <w:r w:rsidR="0086462F" w:rsidRPr="0086462F">
        <w:rPr>
          <w:lang w:val="en-AU"/>
        </w:rPr>
        <w:t>…</w:t>
      </w:r>
      <w:r w:rsidR="0086462F" w:rsidRPr="0051033A">
        <w:rPr>
          <w:lang w:val="en-AU"/>
        </w:rPr>
        <w:t xml:space="preserve">” is thus “if </w:t>
      </w:r>
      <w:r w:rsidR="002A16EA" w:rsidRPr="00185A69">
        <w:rPr>
          <w:position w:val="-16"/>
        </w:rPr>
        <w:object w:dxaOrig="3320" w:dyaOrig="400" w14:anchorId="10D7BA03">
          <v:shape id="_x0000_i1057" type="#_x0000_t75" style="width:166.15pt;height:19.9pt" o:ole="">
            <v:imagedata r:id="rId50" o:title=""/>
          </v:shape>
          <o:OLEObject Type="Embed" ProgID="Equation.3" ShapeID="_x0000_i1057" DrawAspect="Content" ObjectID="_1587581850" r:id="rId51"/>
        </w:object>
      </w:r>
      <w:r w:rsidR="0086462F" w:rsidRPr="0051033A">
        <w:rPr>
          <w:lang w:val="en-AU"/>
        </w:rPr>
        <w:t xml:space="preserve">”. </w:t>
      </w:r>
    </w:p>
    <w:p w14:paraId="2EEFB3B4" w14:textId="77777777" w:rsidR="00456794" w:rsidRPr="00456794" w:rsidRDefault="00456794" w:rsidP="00456794">
      <w:pPr>
        <w:rPr>
          <w:b/>
          <w:u w:val="single"/>
        </w:rPr>
      </w:pPr>
      <w:r>
        <w:rPr>
          <w:b/>
          <w:u w:val="single"/>
        </w:rPr>
        <w:t>Proposal</w:t>
      </w:r>
    </w:p>
    <w:p w14:paraId="0D5F503C" w14:textId="59DA35C5" w:rsidR="00962F52" w:rsidRPr="0051033A" w:rsidRDefault="00E217FF" w:rsidP="007651FB">
      <w:pPr>
        <w:pStyle w:val="ListParagraph"/>
        <w:numPr>
          <w:ilvl w:val="0"/>
          <w:numId w:val="16"/>
        </w:numPr>
        <w:rPr>
          <w:lang w:val="en-AU"/>
        </w:rPr>
      </w:pPr>
      <w:bookmarkStart w:id="2" w:name="_Hlk510732759"/>
      <w:r w:rsidRPr="0051033A">
        <w:rPr>
          <w:lang w:val="en-AU" w:eastAsia="en-US"/>
        </w:rPr>
        <w:t xml:space="preserve">For </w:t>
      </w:r>
      <w:r w:rsidR="00716732" w:rsidRPr="0051033A">
        <w:rPr>
          <w:lang w:val="en-AU"/>
        </w:rPr>
        <w:t xml:space="preserve">DCI formats 0_0 and 0_1 </w:t>
      </w:r>
      <w:r w:rsidR="002A16EA">
        <w:rPr>
          <w:lang w:val="en-AU"/>
        </w:rPr>
        <w:t xml:space="preserve">associated with an UL grant </w:t>
      </w:r>
      <w:r w:rsidRPr="0051033A">
        <w:rPr>
          <w:lang w:val="en-AU"/>
        </w:rPr>
        <w:t xml:space="preserve">corresponding to </w:t>
      </w:r>
      <w:r w:rsidRPr="00D93762">
        <w:rPr>
          <w:position w:val="-12"/>
        </w:rPr>
        <w:object w:dxaOrig="999" w:dyaOrig="360" w14:anchorId="7C396EB6">
          <v:shape id="_x0000_i1058" type="#_x0000_t75" style="width:49.9pt;height:18.1pt" o:ole="">
            <v:imagedata r:id="rId52" o:title=""/>
          </v:shape>
          <o:OLEObject Type="Embed" ProgID="Equation.3" ShapeID="_x0000_i1058" DrawAspect="Content" ObjectID="_1587581851" r:id="rId53"/>
        </w:object>
      </w:r>
      <w:r w:rsidRPr="0051033A">
        <w:rPr>
          <w:lang w:val="en-AU"/>
        </w:rPr>
        <w:t xml:space="preserve">: </w:t>
      </w:r>
    </w:p>
    <w:p w14:paraId="399F67F4" w14:textId="2FEE56F3" w:rsidR="008B51CA" w:rsidRDefault="008B51CA" w:rsidP="007651FB">
      <w:pPr>
        <w:pStyle w:val="B2"/>
        <w:numPr>
          <w:ilvl w:val="1"/>
          <w:numId w:val="16"/>
        </w:numPr>
      </w:pPr>
      <w:r w:rsidRPr="0051033A">
        <w:rPr>
          <w:lang w:val="en-AU"/>
        </w:rPr>
        <w:t xml:space="preserve">If </w:t>
      </w:r>
      <w:r w:rsidRPr="00B55315">
        <w:t xml:space="preserve">the </w:t>
      </w:r>
      <w:r w:rsidRPr="0051033A">
        <w:rPr>
          <w:lang w:val="en-AU"/>
        </w:rPr>
        <w:t xml:space="preserve">UE has reached </w:t>
      </w:r>
      <w:r w:rsidRPr="00583AF4">
        <w:rPr>
          <w:position w:val="-14"/>
          <w:lang w:val="x-none"/>
        </w:rPr>
        <w:object w:dxaOrig="1080" w:dyaOrig="380" w14:anchorId="51EDADA2">
          <v:shape id="_x0000_i1059" type="#_x0000_t75" style="width:53.9pt;height:19pt" o:ole="">
            <v:imagedata r:id="rId48" o:title=""/>
          </v:shape>
          <o:OLEObject Type="Embed" ProgID="Equation.3" ShapeID="_x0000_i1059" DrawAspect="Content" ObjectID="_1587581852" r:id="rId54"/>
        </w:object>
      </w:r>
      <w:r w:rsidRPr="0051033A">
        <w:rPr>
          <w:lang w:val="en-AU"/>
        </w:rPr>
        <w:t xml:space="preserve"> for </w:t>
      </w:r>
      <w:r>
        <w:t xml:space="preserve">carrier </w:t>
      </w:r>
      <w:r>
        <w:rPr>
          <w:iCs/>
          <w:position w:val="-10"/>
          <w:lang w:val="x-none"/>
        </w:rPr>
        <w:object w:dxaOrig="225" w:dyaOrig="300" w14:anchorId="262B0E00">
          <v:shape id="_x0000_i1060" type="#_x0000_t75" style="width:11.05pt;height:15pt" o:ole="">
            <v:imagedata r:id="rId12" o:title=""/>
          </v:shape>
          <o:OLEObject Type="Embed" ProgID="Equation.3" ShapeID="_x0000_i1060" DrawAspect="Content" ObjectID="_1587581853" r:id="rId55"/>
        </w:object>
      </w:r>
      <w:r>
        <w:rPr>
          <w:iCs/>
        </w:rPr>
        <w:t xml:space="preserve"> of</w:t>
      </w:r>
      <w:r>
        <w:t xml:space="preserve"> </w:t>
      </w:r>
      <w:r w:rsidRPr="0051033A">
        <w:rPr>
          <w:lang w:val="en-AU"/>
        </w:rPr>
        <w:t xml:space="preserve">serving cell </w:t>
      </w:r>
      <w:r w:rsidRPr="00D2409C">
        <w:rPr>
          <w:position w:val="-6"/>
          <w:lang w:val="x-none"/>
        </w:rPr>
        <w:object w:dxaOrig="165" w:dyaOrig="195" w14:anchorId="5CC4C9ED">
          <v:shape id="_x0000_i1061" type="#_x0000_t75" style="width:8.4pt;height:9.7pt" o:ole="">
            <v:imagedata r:id="rId14" o:title=""/>
          </v:shape>
          <o:OLEObject Type="Embed" ProgID="Equation.3" ShapeID="_x0000_i1061" DrawAspect="Content" ObjectID="_1587581854" r:id="rId56"/>
        </w:object>
      </w:r>
      <w:r w:rsidRPr="00B55315">
        <w:rPr>
          <w:lang w:val="en-AU"/>
        </w:rPr>
        <w:t xml:space="preserve">, </w:t>
      </w:r>
      <w:r w:rsidRPr="00B55315">
        <w:t xml:space="preserve">for the given </w:t>
      </w:r>
      <w:r w:rsidR="00180875" w:rsidRPr="00185A69">
        <w:rPr>
          <w:position w:val="-16"/>
        </w:rPr>
        <w:object w:dxaOrig="1939" w:dyaOrig="400" w14:anchorId="203A0811">
          <v:shape id="_x0000_i1062" type="#_x0000_t75" style="width:96.75pt;height:19.9pt" o:ole="">
            <v:imagedata r:id="rId44" o:title=""/>
          </v:shape>
          <o:OLEObject Type="Embed" ProgID="Equation.3" ShapeID="_x0000_i1062" DrawAspect="Content" ObjectID="_1587581855" r:id="rId57"/>
        </w:object>
      </w:r>
      <w:r w:rsidRPr="0051033A">
        <w:rPr>
          <w:lang w:val="en-AU"/>
        </w:rPr>
        <w:t xml:space="preserve">, positive TPC commands for </w:t>
      </w:r>
      <w:r>
        <w:t xml:space="preserve">carrier </w:t>
      </w:r>
      <w:r>
        <w:rPr>
          <w:iCs/>
          <w:position w:val="-10"/>
          <w:lang w:val="x-none"/>
        </w:rPr>
        <w:object w:dxaOrig="225" w:dyaOrig="300" w14:anchorId="04835E38">
          <v:shape id="_x0000_i1063" type="#_x0000_t75" style="width:11.05pt;height:15pt" o:ole="">
            <v:imagedata r:id="rId12" o:title=""/>
          </v:shape>
          <o:OLEObject Type="Embed" ProgID="Equation.3" ShapeID="_x0000_i1063" DrawAspect="Content" ObjectID="_1587581856" r:id="rId58"/>
        </w:object>
      </w:r>
      <w:r>
        <w:rPr>
          <w:iCs/>
        </w:rPr>
        <w:t xml:space="preserve"> of</w:t>
      </w:r>
      <w:r>
        <w:t xml:space="preserve"> </w:t>
      </w:r>
      <w:r w:rsidRPr="0051033A">
        <w:rPr>
          <w:lang w:val="en-AU"/>
        </w:rPr>
        <w:t xml:space="preserve">serving cell </w:t>
      </w:r>
      <w:r>
        <w:rPr>
          <w:position w:val="-6"/>
          <w:lang w:val="x-none"/>
        </w:rPr>
        <w:object w:dxaOrig="165" w:dyaOrig="195" w14:anchorId="3EC24B02">
          <v:shape id="_x0000_i1064" type="#_x0000_t75" style="width:8.4pt;height:9.7pt" o:ole="">
            <v:imagedata r:id="rId14" o:title=""/>
          </v:shape>
          <o:OLEObject Type="Embed" ProgID="Equation.3" ShapeID="_x0000_i1064" DrawAspect="Content" ObjectID="_1587581857" r:id="rId59"/>
        </w:object>
      </w:r>
      <w:r w:rsidRPr="0051033A">
        <w:rPr>
          <w:lang w:val="en-AU"/>
        </w:rPr>
        <w:t xml:space="preserve"> shall not be accumulated </w:t>
      </w:r>
      <w:r w:rsidRPr="00B55315">
        <w:t xml:space="preserve">for that given </w:t>
      </w:r>
      <w:r w:rsidR="00E217FF" w:rsidRPr="00583AF4">
        <w:rPr>
          <w:position w:val="-6"/>
        </w:rPr>
        <w:object w:dxaOrig="139" w:dyaOrig="279" w14:anchorId="04EDA733">
          <v:shape id="_x0000_i1065" type="#_x0000_t75" style="width:7.05pt;height:14.15pt" o:ole="">
            <v:imagedata r:id="rId60" o:title=""/>
          </v:shape>
          <o:OLEObject Type="Embed" ProgID="Equation.3" ShapeID="_x0000_i1065" DrawAspect="Content" ObjectID="_1587581858" r:id="rId61"/>
        </w:object>
      </w:r>
      <w:r>
        <w:t>.</w:t>
      </w:r>
    </w:p>
    <w:p w14:paraId="36FA1907" w14:textId="6ECB528E" w:rsidR="008B51CA" w:rsidRPr="00B55315" w:rsidRDefault="008B51CA" w:rsidP="007651FB">
      <w:pPr>
        <w:pStyle w:val="B2"/>
        <w:numPr>
          <w:ilvl w:val="1"/>
          <w:numId w:val="16"/>
        </w:numPr>
      </w:pPr>
      <w:r w:rsidRPr="0051033A">
        <w:rPr>
          <w:lang w:val="en-AU"/>
        </w:rPr>
        <w:t>If UE has reached minimum power</w:t>
      </w:r>
      <w:r w:rsidRPr="00D2409C">
        <w:t xml:space="preserve"> for</w:t>
      </w:r>
      <w:r>
        <w:t xml:space="preserve"> carrier </w:t>
      </w:r>
      <w:r>
        <w:rPr>
          <w:iCs/>
          <w:position w:val="-10"/>
          <w:lang w:val="x-none"/>
        </w:rPr>
        <w:object w:dxaOrig="225" w:dyaOrig="300" w14:anchorId="3EC45C33">
          <v:shape id="_x0000_i1066" type="#_x0000_t75" style="width:11.05pt;height:15pt" o:ole="">
            <v:imagedata r:id="rId12" o:title=""/>
          </v:shape>
          <o:OLEObject Type="Embed" ProgID="Equation.3" ShapeID="_x0000_i1066" DrawAspect="Content" ObjectID="_1587581859" r:id="rId62"/>
        </w:object>
      </w:r>
      <w:r>
        <w:rPr>
          <w:iCs/>
        </w:rPr>
        <w:t xml:space="preserve"> of </w:t>
      </w:r>
      <w:r w:rsidRPr="0051033A">
        <w:rPr>
          <w:lang w:val="en-AU"/>
        </w:rPr>
        <w:t xml:space="preserve">serving cell </w:t>
      </w:r>
      <w:r>
        <w:rPr>
          <w:position w:val="-6"/>
          <w:lang w:val="x-none"/>
        </w:rPr>
        <w:object w:dxaOrig="165" w:dyaOrig="195" w14:anchorId="0E11ED84">
          <v:shape id="_x0000_i1067" type="#_x0000_t75" style="width:8.4pt;height:9.7pt" o:ole="">
            <v:imagedata r:id="rId14" o:title=""/>
          </v:shape>
          <o:OLEObject Type="Embed" ProgID="Equation.3" ShapeID="_x0000_i1067" DrawAspect="Content" ObjectID="_1587581860" r:id="rId63"/>
        </w:object>
      </w:r>
      <w:r w:rsidRPr="0051033A">
        <w:rPr>
          <w:lang w:val="en-AU"/>
        </w:rPr>
        <w:t xml:space="preserve">, </w:t>
      </w:r>
      <w:r w:rsidRPr="000C150E">
        <w:t>for the given</w:t>
      </w:r>
      <w:r w:rsidR="00E217FF">
        <w:t xml:space="preserve"> </w:t>
      </w:r>
      <w:r w:rsidR="00180875" w:rsidRPr="00185A69">
        <w:rPr>
          <w:position w:val="-16"/>
        </w:rPr>
        <w:object w:dxaOrig="1939" w:dyaOrig="400" w14:anchorId="06A2DF84">
          <v:shape id="_x0000_i1068" type="#_x0000_t75" style="width:96.75pt;height:19.9pt" o:ole="">
            <v:imagedata r:id="rId44" o:title=""/>
          </v:shape>
          <o:OLEObject Type="Embed" ProgID="Equation.3" ShapeID="_x0000_i1068" DrawAspect="Content" ObjectID="_1587581861" r:id="rId64"/>
        </w:object>
      </w:r>
      <w:r w:rsidRPr="0051033A">
        <w:rPr>
          <w:lang w:val="en-AU"/>
        </w:rPr>
        <w:t xml:space="preserve">, negative TPC commands </w:t>
      </w:r>
      <w:r>
        <w:t xml:space="preserve">for carrier </w:t>
      </w:r>
      <w:r>
        <w:rPr>
          <w:iCs/>
          <w:position w:val="-10"/>
          <w:lang w:val="x-none"/>
        </w:rPr>
        <w:object w:dxaOrig="225" w:dyaOrig="300" w14:anchorId="60D1A463">
          <v:shape id="_x0000_i1069" type="#_x0000_t75" style="width:11.05pt;height:15pt" o:ole="">
            <v:imagedata r:id="rId12" o:title=""/>
          </v:shape>
          <o:OLEObject Type="Embed" ProgID="Equation.3" ShapeID="_x0000_i1069" DrawAspect="Content" ObjectID="_1587581862" r:id="rId65"/>
        </w:object>
      </w:r>
      <w:r>
        <w:rPr>
          <w:iCs/>
        </w:rPr>
        <w:t xml:space="preserve"> of </w:t>
      </w:r>
      <w:r w:rsidRPr="0051033A">
        <w:rPr>
          <w:lang w:val="en-AU"/>
        </w:rPr>
        <w:t xml:space="preserve">serving cell </w:t>
      </w:r>
      <w:r>
        <w:rPr>
          <w:position w:val="-6"/>
          <w:lang w:val="x-none"/>
        </w:rPr>
        <w:object w:dxaOrig="165" w:dyaOrig="195" w14:anchorId="659C5616">
          <v:shape id="_x0000_i1070" type="#_x0000_t75" style="width:8.4pt;height:9.7pt" o:ole="">
            <v:imagedata r:id="rId14" o:title=""/>
          </v:shape>
          <o:OLEObject Type="Embed" ProgID="Equation.3" ShapeID="_x0000_i1070" DrawAspect="Content" ObjectID="_1587581863" r:id="rId66"/>
        </w:object>
      </w:r>
      <w:r>
        <w:t xml:space="preserve"> </w:t>
      </w:r>
      <w:r w:rsidRPr="0051033A">
        <w:rPr>
          <w:lang w:val="en-AU"/>
        </w:rPr>
        <w:t>shall not be accumulated</w:t>
      </w:r>
      <w:r w:rsidR="00E217FF" w:rsidRPr="0051033A">
        <w:rPr>
          <w:lang w:val="en-AU"/>
        </w:rPr>
        <w:t xml:space="preserve"> </w:t>
      </w:r>
      <w:r w:rsidR="00E217FF" w:rsidRPr="000C150E">
        <w:t xml:space="preserve">for that given </w:t>
      </w:r>
      <w:r w:rsidR="00E217FF" w:rsidRPr="000C150E">
        <w:rPr>
          <w:position w:val="-6"/>
        </w:rPr>
        <w:object w:dxaOrig="139" w:dyaOrig="279" w14:anchorId="014A19F9">
          <v:shape id="_x0000_i1071" type="#_x0000_t75" style="width:7.05pt;height:14.15pt" o:ole="">
            <v:imagedata r:id="rId60" o:title=""/>
          </v:shape>
          <o:OLEObject Type="Embed" ProgID="Equation.3" ShapeID="_x0000_i1071" DrawAspect="Content" ObjectID="_1587581864" r:id="rId67"/>
        </w:object>
      </w:r>
    </w:p>
    <w:p w14:paraId="6FFAF36D" w14:textId="78A6A629" w:rsidR="00662419" w:rsidRPr="0051033A" w:rsidRDefault="00716732" w:rsidP="007651FB">
      <w:pPr>
        <w:pStyle w:val="ListParagraph"/>
        <w:numPr>
          <w:ilvl w:val="0"/>
          <w:numId w:val="16"/>
        </w:numPr>
        <w:rPr>
          <w:lang w:val="en-AU"/>
        </w:rPr>
      </w:pPr>
      <w:r w:rsidRPr="0051033A">
        <w:rPr>
          <w:lang w:val="en-AU"/>
        </w:rPr>
        <w:lastRenderedPageBreak/>
        <w:t>C</w:t>
      </w:r>
      <w:r w:rsidR="00662419" w:rsidRPr="0051033A">
        <w:rPr>
          <w:lang w:val="en-AU"/>
        </w:rPr>
        <w:t>losed loop power control for PUCCH</w:t>
      </w:r>
      <w:r w:rsidRPr="0051033A">
        <w:rPr>
          <w:lang w:val="en-AU"/>
        </w:rPr>
        <w:t xml:space="preserve"> given DCI </w:t>
      </w:r>
      <w:r w:rsidRPr="0051033A">
        <w:rPr>
          <w:rFonts w:ascii="Times New Roman" w:hAnsi="Times New Roman"/>
          <w:lang w:val="en-AU"/>
        </w:rPr>
        <w:t xml:space="preserve">formats 1_0 and 1_1 </w:t>
      </w:r>
      <w:r w:rsidRPr="00716732">
        <w:rPr>
          <w:rFonts w:ascii="Times New Roman" w:hAnsi="Times New Roman"/>
          <w:color w:val="000000"/>
          <w:szCs w:val="20"/>
          <w:lang w:val="en-AU"/>
        </w:rPr>
        <w:t>adopts an analogous solution</w:t>
      </w:r>
      <w:r w:rsidR="00693617">
        <w:rPr>
          <w:rFonts w:ascii="Times New Roman" w:hAnsi="Times New Roman"/>
          <w:color w:val="000000"/>
          <w:szCs w:val="20"/>
          <w:lang w:val="en-AU"/>
        </w:rPr>
        <w:t xml:space="preserve"> to DCI formats 0_0 and 0_1 for limiting accumulation</w:t>
      </w:r>
    </w:p>
    <w:bookmarkEnd w:id="2"/>
    <w:p w14:paraId="2B353095" w14:textId="30FDF4A5" w:rsidR="00962F52" w:rsidRDefault="004E6076" w:rsidP="00962F52">
      <w:pPr>
        <w:pStyle w:val="Heading2"/>
        <w:rPr>
          <w:lang w:val="en-US"/>
        </w:rPr>
      </w:pPr>
      <w:r w:rsidRPr="004E6076">
        <w:rPr>
          <w:lang w:val="en-US"/>
        </w:rPr>
        <w:t>Limiting closed loop accumulation</w:t>
      </w:r>
      <w:r>
        <w:rPr>
          <w:lang w:val="en-US"/>
        </w:rPr>
        <w:t xml:space="preserve"> for</w:t>
      </w:r>
      <w:r w:rsidR="00962F52">
        <w:rPr>
          <w:lang w:val="en-US"/>
        </w:rPr>
        <w:t xml:space="preserve"> DCI </w:t>
      </w:r>
      <w:r w:rsidR="00160D2A">
        <w:rPr>
          <w:lang w:val="en-US"/>
        </w:rPr>
        <w:t>format 2_2</w:t>
      </w:r>
    </w:p>
    <w:p w14:paraId="23CBC29E" w14:textId="27A9E834" w:rsidR="00962F52" w:rsidRPr="0051033A" w:rsidRDefault="00962F52" w:rsidP="00962F52">
      <w:pPr>
        <w:rPr>
          <w:lang w:val="en-AU"/>
        </w:rPr>
      </w:pPr>
      <w:r>
        <w:t>In the case of group common DCI</w:t>
      </w:r>
      <w:r w:rsidR="008923DC">
        <w:t xml:space="preserve">, intended for PUSCH, </w:t>
      </w:r>
      <w:r>
        <w:t xml:space="preserve">the TPC will not correspond to a certain </w:t>
      </w:r>
      <w:r w:rsidR="002A16EA" w:rsidRPr="00185A69">
        <w:rPr>
          <w:position w:val="-16"/>
        </w:rPr>
        <w:object w:dxaOrig="1939" w:dyaOrig="400" w14:anchorId="6387C844">
          <v:shape id="_x0000_i1072" type="#_x0000_t75" style="width:96.75pt;height:20.3pt" o:ole="">
            <v:imagedata r:id="rId44" o:title=""/>
          </v:shape>
          <o:OLEObject Type="Embed" ProgID="Equation.3" ShapeID="_x0000_i1072" DrawAspect="Content" ObjectID="_1587581865" r:id="rId68"/>
        </w:object>
      </w:r>
      <w:r w:rsidRPr="0051033A">
        <w:rPr>
          <w:lang w:val="en-AU"/>
        </w:rPr>
        <w:t xml:space="preserve">. Instead, the TPC for a given UE will </w:t>
      </w:r>
      <w:r w:rsidR="002A16EA" w:rsidRPr="0051033A">
        <w:rPr>
          <w:lang w:val="en-AU"/>
        </w:rPr>
        <w:t xml:space="preserve">impact multiple functions </w:t>
      </w:r>
      <w:r w:rsidR="00A33EC7" w:rsidRPr="00D2409C">
        <w:rPr>
          <w:position w:val="-14"/>
        </w:rPr>
        <w:object w:dxaOrig="2040" w:dyaOrig="380" w14:anchorId="16DA8191">
          <v:shape id="_x0000_i1073" type="#_x0000_t75" style="width:102pt;height:18.55pt" o:ole="">
            <v:imagedata r:id="rId69" o:title=""/>
          </v:shape>
          <o:OLEObject Type="Embed" ProgID="Equation.3" ShapeID="_x0000_i1073" DrawAspect="Content" ObjectID="_1587581866" r:id="rId70"/>
        </w:object>
      </w:r>
      <w:r w:rsidR="00A33EC7" w:rsidRPr="0051033A">
        <w:rPr>
          <w:lang w:val="en-AU"/>
        </w:rPr>
        <w:t xml:space="preserve">, </w:t>
      </w:r>
      <w:r w:rsidR="00A33EC7" w:rsidRPr="000C150E">
        <w:rPr>
          <w:position w:val="-14"/>
        </w:rPr>
        <w:object w:dxaOrig="2100" w:dyaOrig="380" w14:anchorId="0BA43A5C">
          <v:shape id="_x0000_i1074" type="#_x0000_t75" style="width:105.1pt;height:18.55pt" o:ole="">
            <v:imagedata r:id="rId71" o:title=""/>
          </v:shape>
          <o:OLEObject Type="Embed" ProgID="Equation.3" ShapeID="_x0000_i1074" DrawAspect="Content" ObjectID="_1587581867" r:id="rId72"/>
        </w:object>
      </w:r>
      <w:r w:rsidR="00A33EC7" w:rsidRPr="0051033A">
        <w:rPr>
          <w:lang w:val="en-AU"/>
        </w:rPr>
        <w:t xml:space="preserve">, …, </w:t>
      </w:r>
      <w:r w:rsidR="00A33EC7" w:rsidRPr="000C150E">
        <w:rPr>
          <w:position w:val="-14"/>
        </w:rPr>
        <w:object w:dxaOrig="2180" w:dyaOrig="380" w14:anchorId="6AB0B236">
          <v:shape id="_x0000_i1075" type="#_x0000_t75" style="width:108.65pt;height:18.55pt" o:ole="">
            <v:imagedata r:id="rId73" o:title=""/>
          </v:shape>
          <o:OLEObject Type="Embed" ProgID="Equation.3" ShapeID="_x0000_i1075" DrawAspect="Content" ObjectID="_1587581868" r:id="rId74"/>
        </w:object>
      </w:r>
      <w:r w:rsidRPr="0051033A">
        <w:rPr>
          <w:lang w:val="en-AU"/>
        </w:rPr>
        <w:t xml:space="preserve"> </w:t>
      </w:r>
      <w:r w:rsidR="00A33EC7" w:rsidRPr="0051033A">
        <w:rPr>
          <w:lang w:val="en-AU"/>
        </w:rPr>
        <w:t>that share the same closed loop</w:t>
      </w:r>
      <w:r w:rsidR="00DC5FBF" w:rsidRPr="0051033A">
        <w:rPr>
          <w:lang w:val="en-AU"/>
        </w:rPr>
        <w:t xml:space="preserve"> (i.e. </w:t>
      </w:r>
      <w:r w:rsidR="00A33EC7" w:rsidRPr="0051033A">
        <w:rPr>
          <w:lang w:val="en-AU"/>
        </w:rPr>
        <w:t>the same index l</w:t>
      </w:r>
      <w:r w:rsidR="00DC5FBF" w:rsidRPr="0051033A">
        <w:rPr>
          <w:lang w:val="en-AU"/>
        </w:rPr>
        <w:t>)</w:t>
      </w:r>
      <w:r w:rsidR="00A33EC7" w:rsidRPr="0051033A">
        <w:rPr>
          <w:lang w:val="en-AU"/>
        </w:rPr>
        <w:t xml:space="preserve">. </w:t>
      </w:r>
      <w:r w:rsidRPr="0051033A">
        <w:rPr>
          <w:lang w:val="en-AU"/>
        </w:rPr>
        <w:t xml:space="preserve">Here there are several potential interpretations of “If </w:t>
      </w:r>
      <w:r>
        <w:t xml:space="preserve">the </w:t>
      </w:r>
      <w:r w:rsidRPr="0051033A">
        <w:rPr>
          <w:lang w:val="en-AU"/>
        </w:rPr>
        <w:t xml:space="preserve">UE has reached </w:t>
      </w:r>
      <w:r w:rsidRPr="005D4AC0">
        <w:rPr>
          <w:position w:val="-14"/>
          <w:lang w:val="x-none"/>
        </w:rPr>
        <w:object w:dxaOrig="1080" w:dyaOrig="380" w14:anchorId="6FD3B84E">
          <v:shape id="_x0000_i1076" type="#_x0000_t75" style="width:53.9pt;height:18.55pt" o:ole="">
            <v:imagedata r:id="rId48" o:title=""/>
          </v:shape>
          <o:OLEObject Type="Embed" ProgID="Equation.3" ShapeID="_x0000_i1076" DrawAspect="Content" ObjectID="_1587581869" r:id="rId75"/>
        </w:object>
      </w:r>
      <w:r w:rsidRPr="0086462F">
        <w:rPr>
          <w:lang w:val="en-AU"/>
        </w:rPr>
        <w:t>…</w:t>
      </w:r>
      <w:r w:rsidRPr="0051033A">
        <w:rPr>
          <w:lang w:val="en-AU"/>
        </w:rPr>
        <w:t>”</w:t>
      </w:r>
      <w:r w:rsidR="00D63AF5" w:rsidRPr="0051033A">
        <w:rPr>
          <w:lang w:val="en-AU"/>
        </w:rPr>
        <w:t>, for instance the ones</w:t>
      </w:r>
      <w:r w:rsidR="001B040D" w:rsidRPr="0051033A">
        <w:rPr>
          <w:lang w:val="en-AU"/>
        </w:rPr>
        <w:t xml:space="preserve"> listed below</w:t>
      </w:r>
      <w:r w:rsidRPr="0051033A">
        <w:rPr>
          <w:lang w:val="en-AU"/>
        </w:rPr>
        <w:t xml:space="preserve"> </w:t>
      </w:r>
    </w:p>
    <w:p w14:paraId="075E5E8A" w14:textId="3C3DD521" w:rsidR="00962F52" w:rsidRPr="0051033A" w:rsidRDefault="001B040D" w:rsidP="007651FB">
      <w:pPr>
        <w:pStyle w:val="ListParagraph"/>
        <w:numPr>
          <w:ilvl w:val="0"/>
          <w:numId w:val="15"/>
        </w:numPr>
        <w:rPr>
          <w:lang w:val="en-AU" w:eastAsia="en-US"/>
        </w:rPr>
      </w:pP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If for </w:t>
      </w:r>
      <w:r w:rsidRPr="0051033A">
        <w:rPr>
          <w:rFonts w:ascii="Times New Roman" w:eastAsia="Times New Roman" w:hAnsi="Times New Roman"/>
          <w:b/>
          <w:szCs w:val="20"/>
          <w:lang w:val="en-AU" w:eastAsia="en-US"/>
        </w:rPr>
        <w:t>all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 </w:t>
      </w:r>
      <w:r w:rsidR="00A13B72" w:rsidRPr="00185A69">
        <w:rPr>
          <w:position w:val="-16"/>
          <w:lang w:eastAsia="en-US"/>
        </w:rPr>
        <w:object w:dxaOrig="1939" w:dyaOrig="400" w14:anchorId="31D6C69A">
          <v:shape id="_x0000_i1077" type="#_x0000_t75" style="width:96.75pt;height:20.3pt" o:ole="">
            <v:imagedata r:id="rId76" o:title=""/>
          </v:shape>
          <o:OLEObject Type="Embed" ProgID="Equation.3" ShapeID="_x0000_i1077" DrawAspect="Content" ObjectID="_1587581870" r:id="rId77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, </w:t>
      </w:r>
      <w:r w:rsidRPr="0051033A">
        <w:rPr>
          <w:rFonts w:ascii="Times New Roman" w:eastAsia="Times New Roman" w:hAnsi="Times New Roman"/>
          <w:b/>
          <w:szCs w:val="20"/>
          <w:lang w:val="en-AU" w:eastAsia="en-US"/>
        </w:rPr>
        <w:t>affected by the TPC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>, the condition</w:t>
      </w:r>
      <w:r w:rsidRPr="00185A69">
        <w:rPr>
          <w:position w:val="-16"/>
          <w:lang w:eastAsia="en-US"/>
        </w:rPr>
        <w:object w:dxaOrig="3300" w:dyaOrig="400" w14:anchorId="43BB49F6">
          <v:shape id="_x0000_i1078" type="#_x0000_t75" style="width:165.15pt;height:20.3pt" o:ole="">
            <v:imagedata r:id="rId78" o:title=""/>
          </v:shape>
          <o:OLEObject Type="Embed" ProgID="Equation.3" ShapeID="_x0000_i1078" DrawAspect="Content" ObjectID="_1587581871" r:id="rId79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 holds then the UE should be considered to have reached </w:t>
      </w:r>
      <w:r w:rsidRPr="005D4AC0">
        <w:rPr>
          <w:position w:val="-14"/>
          <w:lang w:val="x-none"/>
        </w:rPr>
        <w:object w:dxaOrig="1080" w:dyaOrig="380" w14:anchorId="4DE0A290">
          <v:shape id="_x0000_i1079" type="#_x0000_t75" style="width:53.9pt;height:18.55pt" o:ole="">
            <v:imagedata r:id="rId48" o:title=""/>
          </v:shape>
          <o:OLEObject Type="Embed" ProgID="Equation.3" ShapeID="_x0000_i1079" DrawAspect="Content" ObjectID="_1587581872" r:id="rId80"/>
        </w:object>
      </w:r>
      <w:r w:rsidRPr="001B040D">
        <w:rPr>
          <w:rFonts w:ascii="Times New Roman" w:eastAsia="Times New Roman" w:hAnsi="Times New Roman"/>
          <w:szCs w:val="20"/>
          <w:lang w:val="en-AU" w:eastAsia="en-US"/>
        </w:rPr>
        <w:t xml:space="preserve"> and hence </w:t>
      </w:r>
      <w:r>
        <w:rPr>
          <w:rFonts w:ascii="Times New Roman" w:eastAsia="Times New Roman" w:hAnsi="Times New Roman"/>
          <w:szCs w:val="20"/>
          <w:lang w:val="en-AU" w:eastAsia="en-US"/>
        </w:rPr>
        <w:t xml:space="preserve">not perform accumulation. </w:t>
      </w:r>
    </w:p>
    <w:p w14:paraId="23181903" w14:textId="2B261C58" w:rsidR="001B040D" w:rsidRPr="0051033A" w:rsidRDefault="001B040D" w:rsidP="007651FB">
      <w:pPr>
        <w:pStyle w:val="ListParagraph"/>
        <w:numPr>
          <w:ilvl w:val="0"/>
          <w:numId w:val="15"/>
        </w:numPr>
        <w:rPr>
          <w:lang w:val="en-AU" w:eastAsia="en-US"/>
        </w:rPr>
      </w:pP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If for </w:t>
      </w:r>
      <w:r w:rsidRPr="0051033A">
        <w:rPr>
          <w:rFonts w:ascii="Times New Roman" w:eastAsia="Times New Roman" w:hAnsi="Times New Roman"/>
          <w:b/>
          <w:szCs w:val="20"/>
          <w:lang w:val="en-AU" w:eastAsia="en-US"/>
        </w:rPr>
        <w:t>at least one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 </w:t>
      </w:r>
      <w:r w:rsidR="00DC5FBF" w:rsidRPr="00185A69">
        <w:rPr>
          <w:position w:val="-16"/>
          <w:lang w:eastAsia="en-US"/>
        </w:rPr>
        <w:object w:dxaOrig="1939" w:dyaOrig="400" w14:anchorId="66E2EB01">
          <v:shape id="_x0000_i1080" type="#_x0000_t75" style="width:96.75pt;height:20.3pt" o:ole="">
            <v:imagedata r:id="rId44" o:title=""/>
          </v:shape>
          <o:OLEObject Type="Embed" ProgID="Equation.3" ShapeID="_x0000_i1080" DrawAspect="Content" ObjectID="_1587581873" r:id="rId81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, </w:t>
      </w:r>
      <w:r w:rsidRPr="0051033A">
        <w:rPr>
          <w:rFonts w:ascii="Times New Roman" w:eastAsia="Times New Roman" w:hAnsi="Times New Roman"/>
          <w:b/>
          <w:szCs w:val="20"/>
          <w:lang w:val="en-AU" w:eastAsia="en-US"/>
        </w:rPr>
        <w:t>affected by the TPC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>, the condition</w:t>
      </w:r>
      <w:r w:rsidRPr="00185A69">
        <w:rPr>
          <w:position w:val="-16"/>
          <w:lang w:eastAsia="en-US"/>
        </w:rPr>
        <w:object w:dxaOrig="3300" w:dyaOrig="400" w14:anchorId="3E2628BF">
          <v:shape id="_x0000_i1081" type="#_x0000_t75" style="width:165.15pt;height:20.3pt" o:ole="">
            <v:imagedata r:id="rId82" o:title=""/>
          </v:shape>
          <o:OLEObject Type="Embed" ProgID="Equation.3" ShapeID="_x0000_i1081" DrawAspect="Content" ObjectID="_1587581874" r:id="rId83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 holds then the UE should be considered to have reached </w:t>
      </w:r>
      <w:r w:rsidRPr="005D4AC0">
        <w:rPr>
          <w:position w:val="-14"/>
          <w:lang w:val="x-none"/>
        </w:rPr>
        <w:object w:dxaOrig="1080" w:dyaOrig="380" w14:anchorId="338226D2">
          <v:shape id="_x0000_i1082" type="#_x0000_t75" style="width:53.9pt;height:18.55pt" o:ole="">
            <v:imagedata r:id="rId48" o:title=""/>
          </v:shape>
          <o:OLEObject Type="Embed" ProgID="Equation.3" ShapeID="_x0000_i1082" DrawAspect="Content" ObjectID="_1587581875" r:id="rId84"/>
        </w:object>
      </w:r>
      <w:r w:rsidRPr="001B040D">
        <w:rPr>
          <w:rFonts w:ascii="Times New Roman" w:eastAsia="Times New Roman" w:hAnsi="Times New Roman"/>
          <w:szCs w:val="20"/>
          <w:lang w:val="en-AU" w:eastAsia="en-US"/>
        </w:rPr>
        <w:t xml:space="preserve"> and hence </w:t>
      </w:r>
      <w:r>
        <w:rPr>
          <w:rFonts w:ascii="Times New Roman" w:eastAsia="Times New Roman" w:hAnsi="Times New Roman"/>
          <w:szCs w:val="20"/>
          <w:lang w:val="en-AU" w:eastAsia="en-US"/>
        </w:rPr>
        <w:t xml:space="preserve">not perform accumulation. </w:t>
      </w:r>
    </w:p>
    <w:p w14:paraId="02A248FD" w14:textId="701A2F23" w:rsidR="001B040D" w:rsidRPr="0051033A" w:rsidRDefault="001B040D" w:rsidP="007651FB">
      <w:pPr>
        <w:pStyle w:val="ListParagraph"/>
        <w:numPr>
          <w:ilvl w:val="0"/>
          <w:numId w:val="15"/>
        </w:numPr>
        <w:rPr>
          <w:lang w:val="en-AU" w:eastAsia="en-US"/>
        </w:rPr>
      </w:pP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If for </w:t>
      </w:r>
      <w:r w:rsidRPr="0051033A">
        <w:rPr>
          <w:rFonts w:ascii="Times New Roman" w:eastAsia="Times New Roman" w:hAnsi="Times New Roman"/>
          <w:b/>
          <w:szCs w:val="20"/>
          <w:lang w:val="en-AU" w:eastAsia="en-US"/>
        </w:rPr>
        <w:t>all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 </w:t>
      </w:r>
      <w:r w:rsidR="00DC5FBF" w:rsidRPr="00185A69">
        <w:rPr>
          <w:position w:val="-16"/>
          <w:lang w:eastAsia="en-US"/>
        </w:rPr>
        <w:object w:dxaOrig="1939" w:dyaOrig="400" w14:anchorId="4CECE16F">
          <v:shape id="_x0000_i1083" type="#_x0000_t75" style="width:96.75pt;height:20.3pt" o:ole="">
            <v:imagedata r:id="rId44" o:title=""/>
          </v:shape>
          <o:OLEObject Type="Embed" ProgID="Equation.3" ShapeID="_x0000_i1083" DrawAspect="Content" ObjectID="_1587581876" r:id="rId85"/>
        </w:object>
      </w:r>
      <w:r w:rsidR="00DC5FBF" w:rsidRPr="0051033A">
        <w:rPr>
          <w:lang w:val="en-AU" w:eastAsia="en-US"/>
        </w:rPr>
        <w:t xml:space="preserve"> 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the condition </w:t>
      </w:r>
      <w:r w:rsidRPr="00185A69">
        <w:rPr>
          <w:position w:val="-16"/>
          <w:lang w:eastAsia="en-US"/>
        </w:rPr>
        <w:object w:dxaOrig="3300" w:dyaOrig="400" w14:anchorId="182548E9">
          <v:shape id="_x0000_i1084" type="#_x0000_t75" style="width:165.15pt;height:20.3pt" o:ole="">
            <v:imagedata r:id="rId82" o:title=""/>
          </v:shape>
          <o:OLEObject Type="Embed" ProgID="Equation.3" ShapeID="_x0000_i1084" DrawAspect="Content" ObjectID="_1587581877" r:id="rId86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 holds then the UE should be considered to have reached </w:t>
      </w:r>
      <w:r w:rsidRPr="005D4AC0">
        <w:rPr>
          <w:position w:val="-14"/>
          <w:lang w:val="x-none"/>
        </w:rPr>
        <w:object w:dxaOrig="1080" w:dyaOrig="380" w14:anchorId="04CFB8CD">
          <v:shape id="_x0000_i1085" type="#_x0000_t75" style="width:53.9pt;height:18.55pt" o:ole="">
            <v:imagedata r:id="rId48" o:title=""/>
          </v:shape>
          <o:OLEObject Type="Embed" ProgID="Equation.3" ShapeID="_x0000_i1085" DrawAspect="Content" ObjectID="_1587581878" r:id="rId87"/>
        </w:object>
      </w:r>
      <w:r w:rsidRPr="001B040D">
        <w:rPr>
          <w:rFonts w:ascii="Times New Roman" w:eastAsia="Times New Roman" w:hAnsi="Times New Roman"/>
          <w:szCs w:val="20"/>
          <w:lang w:val="en-AU" w:eastAsia="en-US"/>
        </w:rPr>
        <w:t xml:space="preserve"> and hence </w:t>
      </w:r>
      <w:r>
        <w:rPr>
          <w:rFonts w:ascii="Times New Roman" w:eastAsia="Times New Roman" w:hAnsi="Times New Roman"/>
          <w:szCs w:val="20"/>
          <w:lang w:val="en-AU" w:eastAsia="en-US"/>
        </w:rPr>
        <w:t xml:space="preserve">not perform accumulation. </w:t>
      </w:r>
    </w:p>
    <w:p w14:paraId="26D6BEDE" w14:textId="378F4362" w:rsidR="001B040D" w:rsidRPr="0051033A" w:rsidRDefault="001B040D" w:rsidP="007651FB">
      <w:pPr>
        <w:pStyle w:val="ListParagraph"/>
        <w:numPr>
          <w:ilvl w:val="0"/>
          <w:numId w:val="15"/>
        </w:numPr>
        <w:rPr>
          <w:lang w:val="en-AU" w:eastAsia="en-US"/>
        </w:rPr>
      </w:pP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If for </w:t>
      </w:r>
      <w:r w:rsidRPr="0051033A">
        <w:rPr>
          <w:rFonts w:ascii="Times New Roman" w:eastAsia="Times New Roman" w:hAnsi="Times New Roman"/>
          <w:b/>
          <w:szCs w:val="20"/>
          <w:lang w:val="en-AU" w:eastAsia="en-US"/>
        </w:rPr>
        <w:t>at least one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 </w:t>
      </w:r>
      <w:r w:rsidR="00DC5FBF" w:rsidRPr="00185A69">
        <w:rPr>
          <w:position w:val="-16"/>
          <w:lang w:eastAsia="en-US"/>
        </w:rPr>
        <w:object w:dxaOrig="1939" w:dyaOrig="400" w14:anchorId="65DCBFD1">
          <v:shape id="_x0000_i1086" type="#_x0000_t75" style="width:96.75pt;height:20.3pt" o:ole="">
            <v:imagedata r:id="rId44" o:title=""/>
          </v:shape>
          <o:OLEObject Type="Embed" ProgID="Equation.3" ShapeID="_x0000_i1086" DrawAspect="Content" ObjectID="_1587581879" r:id="rId88"/>
        </w:object>
      </w:r>
      <w:r w:rsidR="00DC5FBF" w:rsidRPr="0051033A">
        <w:rPr>
          <w:lang w:val="en-AU" w:eastAsia="en-US"/>
        </w:rPr>
        <w:t xml:space="preserve"> 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>the condition</w:t>
      </w:r>
      <w:r w:rsidRPr="00185A69">
        <w:rPr>
          <w:position w:val="-16"/>
          <w:lang w:eastAsia="en-US"/>
        </w:rPr>
        <w:object w:dxaOrig="3300" w:dyaOrig="400" w14:anchorId="6398D71F">
          <v:shape id="_x0000_i1087" type="#_x0000_t75" style="width:165.15pt;height:20.3pt" o:ole="">
            <v:imagedata r:id="rId82" o:title=""/>
          </v:shape>
          <o:OLEObject Type="Embed" ProgID="Equation.3" ShapeID="_x0000_i1087" DrawAspect="Content" ObjectID="_1587581880" r:id="rId89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 holds then the UE should be considered to have reached </w:t>
      </w:r>
      <w:r w:rsidRPr="005D4AC0">
        <w:rPr>
          <w:position w:val="-14"/>
          <w:lang w:val="x-none"/>
        </w:rPr>
        <w:object w:dxaOrig="1080" w:dyaOrig="380" w14:anchorId="571603F2">
          <v:shape id="_x0000_i1088" type="#_x0000_t75" style="width:53.9pt;height:18.55pt" o:ole="">
            <v:imagedata r:id="rId48" o:title=""/>
          </v:shape>
          <o:OLEObject Type="Embed" ProgID="Equation.3" ShapeID="_x0000_i1088" DrawAspect="Content" ObjectID="_1587581881" r:id="rId90"/>
        </w:object>
      </w:r>
      <w:r w:rsidRPr="001B040D">
        <w:rPr>
          <w:rFonts w:ascii="Times New Roman" w:eastAsia="Times New Roman" w:hAnsi="Times New Roman"/>
          <w:szCs w:val="20"/>
          <w:lang w:val="en-AU" w:eastAsia="en-US"/>
        </w:rPr>
        <w:t xml:space="preserve"> and hence </w:t>
      </w:r>
      <w:r>
        <w:rPr>
          <w:rFonts w:ascii="Times New Roman" w:eastAsia="Times New Roman" w:hAnsi="Times New Roman"/>
          <w:szCs w:val="20"/>
          <w:lang w:val="en-AU" w:eastAsia="en-US"/>
        </w:rPr>
        <w:t xml:space="preserve">not perform accumulation. </w:t>
      </w:r>
    </w:p>
    <w:p w14:paraId="1F595169" w14:textId="75856F53" w:rsidR="00962F52" w:rsidRPr="00FC5886" w:rsidRDefault="001B040D" w:rsidP="00962F52">
      <w:r w:rsidRPr="00FC5886">
        <w:t xml:space="preserve">In order to clarify the ambiguity in the current specification RAN1 hence needs to clarify this part. </w:t>
      </w:r>
      <w:r w:rsidR="00AF2DF4" w:rsidRPr="00FC5886">
        <w:t>We find the first interpretation</w:t>
      </w:r>
      <w:r w:rsidR="00A25CEA" w:rsidRPr="00FC5886">
        <w:t>,</w:t>
      </w:r>
      <w:r w:rsidR="00AF2DF4" w:rsidRPr="00FC5886">
        <w:t xml:space="preserve"> “i)” as listed above</w:t>
      </w:r>
      <w:r w:rsidR="00A25CEA" w:rsidRPr="00FC5886">
        <w:t>,</w:t>
      </w:r>
      <w:r w:rsidR="00AF2DF4" w:rsidRPr="00FC5886">
        <w:t xml:space="preserve"> to be the most appropriate one</w:t>
      </w:r>
      <w:r w:rsidR="00A853FE" w:rsidRPr="00FC5886">
        <w:t xml:space="preserve"> and t</w:t>
      </w:r>
      <w:r w:rsidR="00AF2DF4" w:rsidRPr="00FC5886">
        <w:t xml:space="preserve">herefore </w:t>
      </w:r>
      <w:r w:rsidR="00D63AF5" w:rsidRPr="00FC5886">
        <w:t xml:space="preserve">propose the following </w:t>
      </w:r>
    </w:p>
    <w:p w14:paraId="65FEB32F" w14:textId="77777777" w:rsidR="00456794" w:rsidRPr="00FC5886" w:rsidRDefault="00456794" w:rsidP="00456794">
      <w:pPr>
        <w:rPr>
          <w:b/>
          <w:u w:val="single"/>
        </w:rPr>
      </w:pPr>
      <w:r w:rsidRPr="00FC5886">
        <w:rPr>
          <w:b/>
          <w:u w:val="single"/>
        </w:rPr>
        <w:t>Proposal</w:t>
      </w:r>
    </w:p>
    <w:p w14:paraId="772CFC65" w14:textId="099DA981" w:rsidR="00456794" w:rsidRPr="00FC5886" w:rsidRDefault="00456794" w:rsidP="007651FB">
      <w:pPr>
        <w:pStyle w:val="ListParagraph"/>
        <w:numPr>
          <w:ilvl w:val="0"/>
          <w:numId w:val="16"/>
        </w:numPr>
        <w:rPr>
          <w:rFonts w:asciiTheme="minorHAnsi" w:hAnsiTheme="minorHAnsi"/>
          <w:lang w:val="en-AU" w:eastAsia="en-US"/>
        </w:rPr>
      </w:pPr>
      <w:bookmarkStart w:id="3" w:name="_Hlk510732922"/>
      <w:r w:rsidRPr="00FC5886">
        <w:rPr>
          <w:rFonts w:asciiTheme="minorHAnsi" w:hAnsiTheme="minorHAnsi"/>
          <w:lang w:val="en-AU" w:eastAsia="en-US"/>
        </w:rPr>
        <w:t xml:space="preserve">Limitation of the closed loop accumulation </w:t>
      </w:r>
      <w:r w:rsidR="00693617" w:rsidRPr="00FC5886">
        <w:rPr>
          <w:rFonts w:asciiTheme="minorHAnsi" w:hAnsiTheme="minorHAnsi"/>
          <w:lang w:val="en-AU" w:eastAsia="en-US"/>
        </w:rPr>
        <w:t xml:space="preserve">for PUSCH </w:t>
      </w:r>
      <w:r w:rsidRPr="00FC5886">
        <w:rPr>
          <w:rFonts w:asciiTheme="minorHAnsi" w:hAnsiTheme="minorHAnsi"/>
          <w:lang w:val="en-AU" w:eastAsia="en-US"/>
        </w:rPr>
        <w:t xml:space="preserve">in the case </w:t>
      </w:r>
      <w:r w:rsidR="002257BD" w:rsidRPr="00FC5886">
        <w:rPr>
          <w:rFonts w:asciiTheme="minorHAnsi" w:hAnsiTheme="minorHAnsi"/>
          <w:lang w:val="en-AU" w:eastAsia="en-US"/>
        </w:rPr>
        <w:t xml:space="preserve">of </w:t>
      </w:r>
      <w:r w:rsidR="002257BD" w:rsidRPr="00FC5886">
        <w:rPr>
          <w:rFonts w:asciiTheme="minorHAnsi" w:hAnsiTheme="minorHAnsi"/>
          <w:lang w:val="en-AU"/>
        </w:rPr>
        <w:t xml:space="preserve">DCI format 2_2 </w:t>
      </w:r>
      <w:r w:rsidRPr="00FC5886">
        <w:rPr>
          <w:rFonts w:asciiTheme="minorHAnsi" w:hAnsiTheme="minorHAnsi"/>
          <w:lang w:val="en-AU" w:eastAsia="en-US"/>
        </w:rPr>
        <w:t xml:space="preserve">should be based on a condition on all </w:t>
      </w:r>
      <w:r w:rsidRPr="00FC5886">
        <w:rPr>
          <w:rFonts w:asciiTheme="minorHAnsi" w:hAnsiTheme="minorHAnsi"/>
          <w:position w:val="-14"/>
        </w:rPr>
        <w:object w:dxaOrig="1800" w:dyaOrig="380" w14:anchorId="399A4E2A">
          <v:shape id="_x0000_i1089" type="#_x0000_t75" style="width:90.1pt;height:18.55pt" o:ole="">
            <v:imagedata r:id="rId91" o:title=""/>
          </v:shape>
          <o:OLEObject Type="Embed" ProgID="Equation.3" ShapeID="_x0000_i1089" DrawAspect="Content" ObjectID="_1587581882" r:id="rId92"/>
        </w:object>
      </w:r>
      <w:r w:rsidRPr="00FC5886">
        <w:rPr>
          <w:rFonts w:asciiTheme="minorHAnsi" w:hAnsiTheme="minorHAnsi"/>
          <w:lang w:val="en-AU"/>
        </w:rPr>
        <w:t xml:space="preserve"> </w:t>
      </w:r>
      <w:r w:rsidRPr="00FC5886">
        <w:rPr>
          <w:rFonts w:asciiTheme="minorHAnsi" w:hAnsiTheme="minorHAnsi"/>
          <w:lang w:val="en-AU" w:eastAsia="en-US"/>
        </w:rPr>
        <w:t xml:space="preserve">affected by the group common DCI. </w:t>
      </w:r>
    </w:p>
    <w:p w14:paraId="13DBA53B" w14:textId="68D1FE77" w:rsidR="00456794" w:rsidRPr="00FC5886" w:rsidRDefault="00A13B72" w:rsidP="007651FB">
      <w:pPr>
        <w:pStyle w:val="ListParagraph"/>
        <w:numPr>
          <w:ilvl w:val="1"/>
          <w:numId w:val="16"/>
        </w:numPr>
        <w:rPr>
          <w:rFonts w:asciiTheme="minorHAnsi" w:hAnsiTheme="minorHAnsi"/>
          <w:lang w:val="en-AU"/>
        </w:rPr>
      </w:pPr>
      <w:r w:rsidRPr="00FC5886">
        <w:rPr>
          <w:rFonts w:asciiTheme="minorHAnsi" w:eastAsia="Times New Roman" w:hAnsiTheme="minorHAnsi"/>
          <w:szCs w:val="20"/>
          <w:lang w:val="en-AU" w:eastAsia="en-US"/>
        </w:rPr>
        <w:t xml:space="preserve">If for all </w:t>
      </w:r>
      <w:r w:rsidRPr="00FC5886">
        <w:rPr>
          <w:rFonts w:asciiTheme="minorHAnsi" w:hAnsiTheme="minorHAnsi"/>
          <w:position w:val="-16"/>
          <w:lang w:eastAsia="en-US"/>
        </w:rPr>
        <w:object w:dxaOrig="1939" w:dyaOrig="400" w14:anchorId="46EFA702">
          <v:shape id="_x0000_i1090" type="#_x0000_t75" style="width:96.75pt;height:20.3pt" o:ole="">
            <v:imagedata r:id="rId76" o:title=""/>
          </v:shape>
          <o:OLEObject Type="Embed" ProgID="Equation.3" ShapeID="_x0000_i1090" DrawAspect="Content" ObjectID="_1587581883" r:id="rId93"/>
        </w:object>
      </w:r>
      <w:r w:rsidRPr="00FC5886">
        <w:rPr>
          <w:rFonts w:asciiTheme="minorHAnsi" w:eastAsia="Times New Roman" w:hAnsiTheme="minorHAnsi"/>
          <w:szCs w:val="20"/>
          <w:lang w:val="en-AU" w:eastAsia="en-US"/>
        </w:rPr>
        <w:t>, affected by the TPC, the condition</w:t>
      </w:r>
      <w:r w:rsidRPr="00FC5886">
        <w:rPr>
          <w:rFonts w:asciiTheme="minorHAnsi" w:hAnsiTheme="minorHAnsi"/>
          <w:position w:val="-16"/>
          <w:lang w:eastAsia="en-US"/>
        </w:rPr>
        <w:object w:dxaOrig="3300" w:dyaOrig="400" w14:anchorId="72E6D037">
          <v:shape id="_x0000_i1091" type="#_x0000_t75" style="width:165.15pt;height:20.3pt" o:ole="">
            <v:imagedata r:id="rId78" o:title=""/>
          </v:shape>
          <o:OLEObject Type="Embed" ProgID="Equation.3" ShapeID="_x0000_i1091" DrawAspect="Content" ObjectID="_1587581884" r:id="rId94"/>
        </w:object>
      </w:r>
      <w:r w:rsidRPr="00FC5886">
        <w:rPr>
          <w:rFonts w:asciiTheme="minorHAnsi" w:eastAsia="Times New Roman" w:hAnsiTheme="minorHAnsi"/>
          <w:szCs w:val="20"/>
          <w:lang w:val="en-AU" w:eastAsia="en-US"/>
        </w:rPr>
        <w:t xml:space="preserve"> holds</w:t>
      </w:r>
      <w:r w:rsidR="00456794" w:rsidRPr="00FC5886">
        <w:rPr>
          <w:rFonts w:asciiTheme="minorHAnsi" w:eastAsia="Times New Roman" w:hAnsiTheme="minorHAnsi"/>
          <w:szCs w:val="20"/>
          <w:lang w:val="en-AU" w:eastAsia="en-US"/>
        </w:rPr>
        <w:t xml:space="preserve"> then </w:t>
      </w:r>
      <w:r w:rsidR="00456794" w:rsidRPr="00FC5886">
        <w:rPr>
          <w:rFonts w:asciiTheme="minorHAnsi" w:hAnsiTheme="minorHAnsi"/>
          <w:lang w:val="en-AU"/>
        </w:rPr>
        <w:t xml:space="preserve">positive TPC commands should not be accumulated. </w:t>
      </w:r>
    </w:p>
    <w:p w14:paraId="6C5E89B2" w14:textId="5E94D72B" w:rsidR="00456794" w:rsidRPr="00FC5886" w:rsidRDefault="00A13B72" w:rsidP="007651FB">
      <w:pPr>
        <w:pStyle w:val="ListParagraph"/>
        <w:numPr>
          <w:ilvl w:val="1"/>
          <w:numId w:val="16"/>
        </w:numPr>
        <w:rPr>
          <w:rFonts w:asciiTheme="minorHAnsi" w:hAnsiTheme="minorHAnsi"/>
          <w:lang w:val="en-AU"/>
        </w:rPr>
      </w:pPr>
      <w:r w:rsidRPr="00FC5886">
        <w:rPr>
          <w:rFonts w:asciiTheme="minorHAnsi" w:eastAsia="Times New Roman" w:hAnsiTheme="minorHAnsi"/>
          <w:szCs w:val="20"/>
          <w:lang w:val="en-AU" w:eastAsia="en-US"/>
        </w:rPr>
        <w:t xml:space="preserve">If for all </w:t>
      </w:r>
      <w:r w:rsidRPr="00FC5886">
        <w:rPr>
          <w:rFonts w:asciiTheme="minorHAnsi" w:hAnsiTheme="minorHAnsi"/>
          <w:position w:val="-16"/>
          <w:lang w:eastAsia="en-US"/>
        </w:rPr>
        <w:object w:dxaOrig="1939" w:dyaOrig="400" w14:anchorId="2BE72CC2">
          <v:shape id="_x0000_i1092" type="#_x0000_t75" style="width:96.75pt;height:20.3pt" o:ole="">
            <v:imagedata r:id="rId76" o:title=""/>
          </v:shape>
          <o:OLEObject Type="Embed" ProgID="Equation.3" ShapeID="_x0000_i1092" DrawAspect="Content" ObjectID="_1587581885" r:id="rId95"/>
        </w:object>
      </w:r>
      <w:r w:rsidRPr="00FC5886">
        <w:rPr>
          <w:rFonts w:asciiTheme="minorHAnsi" w:eastAsia="Times New Roman" w:hAnsiTheme="minorHAnsi"/>
          <w:szCs w:val="20"/>
          <w:lang w:val="en-AU" w:eastAsia="en-US"/>
        </w:rPr>
        <w:t xml:space="preserve">, affected by the TPC, the condition </w:t>
      </w:r>
      <w:r w:rsidR="0092069A" w:rsidRPr="00FC5886">
        <w:rPr>
          <w:rFonts w:asciiTheme="minorHAnsi" w:hAnsiTheme="minorHAnsi"/>
          <w:position w:val="-14"/>
          <w:lang w:eastAsia="en-US"/>
        </w:rPr>
        <w:object w:dxaOrig="1980" w:dyaOrig="380" w14:anchorId="7B00BA79">
          <v:shape id="_x0000_i1093" type="#_x0000_t75" style="width:98.9pt;height:19.45pt" o:ole="">
            <v:imagedata r:id="rId96" o:title=""/>
          </v:shape>
          <o:OLEObject Type="Embed" ProgID="Equation.3" ShapeID="_x0000_i1093" DrawAspect="Content" ObjectID="_1587581886" r:id="rId97"/>
        </w:object>
      </w:r>
      <w:r w:rsidR="00456794" w:rsidRPr="00FC5886">
        <w:rPr>
          <w:rFonts w:asciiTheme="minorHAnsi" w:eastAsia="Times New Roman" w:hAnsiTheme="minorHAnsi"/>
          <w:szCs w:val="20"/>
          <w:lang w:val="en-AU" w:eastAsia="en-US"/>
        </w:rPr>
        <w:t xml:space="preserve">minimum_power </w:t>
      </w:r>
      <w:r w:rsidRPr="00FC5886">
        <w:rPr>
          <w:rFonts w:asciiTheme="minorHAnsi" w:eastAsia="Times New Roman" w:hAnsiTheme="minorHAnsi"/>
          <w:szCs w:val="20"/>
          <w:lang w:val="en-AU" w:eastAsia="en-US"/>
        </w:rPr>
        <w:t xml:space="preserve">holds </w:t>
      </w:r>
      <w:r w:rsidR="00456794" w:rsidRPr="00FC5886">
        <w:rPr>
          <w:rFonts w:asciiTheme="minorHAnsi" w:eastAsia="Times New Roman" w:hAnsiTheme="minorHAnsi"/>
          <w:szCs w:val="20"/>
          <w:lang w:val="en-AU" w:eastAsia="en-US"/>
        </w:rPr>
        <w:t xml:space="preserve">then </w:t>
      </w:r>
      <w:r w:rsidR="00456794" w:rsidRPr="00FC5886">
        <w:rPr>
          <w:rFonts w:asciiTheme="minorHAnsi" w:hAnsiTheme="minorHAnsi"/>
          <w:lang w:val="en-AU"/>
        </w:rPr>
        <w:t xml:space="preserve">negative TPC commands should not be accumulated. </w:t>
      </w:r>
    </w:p>
    <w:p w14:paraId="6C273DEC" w14:textId="607FB320" w:rsidR="00662419" w:rsidRPr="00DE6C17" w:rsidRDefault="00716732" w:rsidP="007651FB">
      <w:pPr>
        <w:pStyle w:val="ListParagraph"/>
        <w:numPr>
          <w:ilvl w:val="0"/>
          <w:numId w:val="16"/>
        </w:numPr>
        <w:rPr>
          <w:rFonts w:asciiTheme="minorHAnsi" w:hAnsiTheme="minorHAnsi"/>
          <w:lang w:val="en-AU"/>
        </w:rPr>
      </w:pPr>
      <w:r w:rsidRPr="00FC5886">
        <w:rPr>
          <w:rFonts w:asciiTheme="minorHAnsi" w:hAnsiTheme="minorHAnsi"/>
          <w:lang w:val="en-AU"/>
        </w:rPr>
        <w:t>C</w:t>
      </w:r>
      <w:r w:rsidR="00662419" w:rsidRPr="00FC5886">
        <w:rPr>
          <w:rFonts w:asciiTheme="minorHAnsi" w:hAnsiTheme="minorHAnsi"/>
          <w:lang w:val="en-AU"/>
        </w:rPr>
        <w:t xml:space="preserve">losed loop power control </w:t>
      </w:r>
      <w:r w:rsidRPr="00FC5886">
        <w:rPr>
          <w:rFonts w:asciiTheme="minorHAnsi" w:hAnsiTheme="minorHAnsi"/>
          <w:lang w:val="en-AU"/>
        </w:rPr>
        <w:t xml:space="preserve">for PUCCH given DCI format 2_2 </w:t>
      </w:r>
      <w:r w:rsidRPr="00FC5886">
        <w:rPr>
          <w:rFonts w:asciiTheme="minorHAnsi" w:hAnsiTheme="minorHAnsi"/>
          <w:color w:val="000000"/>
          <w:szCs w:val="20"/>
          <w:lang w:val="en-AU"/>
        </w:rPr>
        <w:t>adopts an analogous solution</w:t>
      </w:r>
      <w:r w:rsidR="00693617" w:rsidRPr="00FC5886">
        <w:rPr>
          <w:rFonts w:asciiTheme="minorHAnsi" w:hAnsiTheme="minorHAnsi"/>
          <w:color w:val="000000"/>
          <w:szCs w:val="20"/>
          <w:lang w:val="en-AU"/>
        </w:rPr>
        <w:t xml:space="preserve"> to PUSCH given DCI format 2_2 for limiting accumulation</w:t>
      </w:r>
      <w:bookmarkEnd w:id="3"/>
      <w:r w:rsidRPr="00FC5886">
        <w:rPr>
          <w:rFonts w:asciiTheme="minorHAnsi" w:hAnsiTheme="minorHAnsi"/>
          <w:color w:val="000000"/>
          <w:szCs w:val="20"/>
          <w:lang w:val="en-AU"/>
        </w:rPr>
        <w:t xml:space="preserve">. </w:t>
      </w:r>
    </w:p>
    <w:p w14:paraId="1E07AE57" w14:textId="4BEF9F83" w:rsidR="00DE6C17" w:rsidRPr="003B198B" w:rsidRDefault="00DE6C17" w:rsidP="00DE6C17">
      <w:pPr>
        <w:rPr>
          <w:lang w:val="en-AU"/>
        </w:rPr>
      </w:pPr>
      <w:r w:rsidRPr="003B198B">
        <w:rPr>
          <w:lang w:val="en-AU"/>
        </w:rPr>
        <w:lastRenderedPageBreak/>
        <w:t xml:space="preserve">It is </w:t>
      </w:r>
      <w:r w:rsidR="006D7910">
        <w:rPr>
          <w:lang w:val="en-AU"/>
        </w:rPr>
        <w:t>finally pointed out</w:t>
      </w:r>
      <w:r w:rsidRPr="003B198B">
        <w:rPr>
          <w:lang w:val="en-AU"/>
        </w:rPr>
        <w:t xml:space="preserve"> that when SRS power control is configured to follow PUSCH power control the closed loop of </w:t>
      </w:r>
      <w:r w:rsidRPr="003B198B">
        <w:rPr>
          <w:rFonts w:eastAsia="Times New Roman" w:cs="Times New Roman"/>
          <w:iCs/>
          <w:position w:val="-12"/>
          <w:lang w:val="en-GB"/>
        </w:rPr>
        <w:object w:dxaOrig="1215" w:dyaOrig="330" w14:anchorId="78F99782">
          <v:shape id="_x0000_i1094" type="#_x0000_t75" style="width:60.75pt;height:16.5pt" o:ole="">
            <v:imagedata r:id="rId98" o:title=""/>
          </v:shape>
          <o:OLEObject Type="Embed" ProgID="Equation.3" ShapeID="_x0000_i1094" DrawAspect="Content" ObjectID="_1587581887" r:id="rId99"/>
        </w:object>
      </w:r>
      <w:r w:rsidRPr="003B198B">
        <w:rPr>
          <w:rFonts w:eastAsia="Times New Roman" w:cs="Times New Roman"/>
          <w:iCs/>
          <w:lang w:val="en-GB"/>
        </w:rPr>
        <w:t xml:space="preserve"> </w:t>
      </w:r>
      <w:r w:rsidR="003B198B" w:rsidRPr="003B198B">
        <w:rPr>
          <w:rFonts w:eastAsia="Times New Roman" w:cs="Times New Roman"/>
          <w:iCs/>
          <w:lang w:val="en-GB"/>
        </w:rPr>
        <w:t xml:space="preserve">will use </w:t>
      </w:r>
      <w:r w:rsidRPr="003B198B">
        <w:rPr>
          <w:rFonts w:eastAsia="Times New Roman" w:cs="Times New Roman"/>
          <w:position w:val="-12"/>
          <w:lang w:val="en-GB"/>
        </w:rPr>
        <w:object w:dxaOrig="1740" w:dyaOrig="315" w14:anchorId="293B40F7">
          <v:shape id="_x0000_i1095" type="#_x0000_t75" style="width:87pt;height:15.75pt" o:ole="">
            <v:imagedata r:id="rId100" o:title=""/>
          </v:shape>
          <o:OLEObject Type="Embed" ProgID="Equation.3" ShapeID="_x0000_i1095" DrawAspect="Content" ObjectID="_1587581888" r:id="rId101"/>
        </w:object>
      </w:r>
      <w:r w:rsidR="00DA3A39">
        <w:rPr>
          <w:rFonts w:eastAsia="Times New Roman" w:cs="Times New Roman"/>
          <w:lang w:val="en-GB"/>
        </w:rPr>
        <w:t>;</w:t>
      </w:r>
      <w:r w:rsidR="003B198B" w:rsidRPr="003B198B">
        <w:rPr>
          <w:rFonts w:eastAsia="Times New Roman" w:cs="Times New Roman"/>
          <w:lang w:val="en-GB"/>
        </w:rPr>
        <w:t xml:space="preserve"> hence also SRS power control will be affected o</w:t>
      </w:r>
      <w:r w:rsidR="00DA3A39">
        <w:rPr>
          <w:rFonts w:eastAsia="Times New Roman" w:cs="Times New Roman"/>
          <w:lang w:val="en-GB"/>
        </w:rPr>
        <w:t>n</w:t>
      </w:r>
      <w:r w:rsidR="003B198B" w:rsidRPr="003B198B">
        <w:rPr>
          <w:rFonts w:eastAsia="Times New Roman" w:cs="Times New Roman"/>
          <w:lang w:val="en-GB"/>
        </w:rPr>
        <w:t xml:space="preserve"> </w:t>
      </w:r>
      <w:r w:rsidR="00DA3A39">
        <w:rPr>
          <w:rFonts w:eastAsia="Times New Roman" w:cs="Times New Roman"/>
          <w:lang w:val="en-GB"/>
        </w:rPr>
        <w:t xml:space="preserve">the </w:t>
      </w:r>
      <w:r w:rsidR="003B198B" w:rsidRPr="003B198B">
        <w:rPr>
          <w:rFonts w:eastAsia="Times New Roman" w:cs="Times New Roman"/>
          <w:lang w:val="en-GB"/>
        </w:rPr>
        <w:t>limitation o</w:t>
      </w:r>
      <w:r w:rsidR="00DA3A39">
        <w:rPr>
          <w:rFonts w:eastAsia="Times New Roman" w:cs="Times New Roman"/>
          <w:lang w:val="en-GB"/>
        </w:rPr>
        <w:t>f</w:t>
      </w:r>
      <w:r w:rsidR="003B198B" w:rsidRPr="003B198B">
        <w:rPr>
          <w:rFonts w:eastAsia="Times New Roman" w:cs="Times New Roman"/>
          <w:lang w:val="en-GB"/>
        </w:rPr>
        <w:t xml:space="preserve"> the accumulation. </w:t>
      </w:r>
      <w:r w:rsidR="00C2714C">
        <w:rPr>
          <w:rFonts w:eastAsia="Times New Roman" w:cs="Times New Roman"/>
          <w:lang w:val="en-GB"/>
        </w:rPr>
        <w:t>One possibility is to also include</w:t>
      </w:r>
      <w:r w:rsidR="003B198B" w:rsidRPr="003B198B">
        <w:rPr>
          <w:rFonts w:eastAsia="Times New Roman" w:cs="Times New Roman"/>
          <w:lang w:val="en-GB"/>
        </w:rPr>
        <w:t xml:space="preserve"> </w:t>
      </w:r>
      <w:r w:rsidR="003B198B" w:rsidRPr="003B198B">
        <w:rPr>
          <w:rFonts w:eastAsia="Times New Roman" w:cs="Times New Roman"/>
          <w:iCs/>
          <w:position w:val="-12"/>
          <w:lang w:val="en-GB"/>
        </w:rPr>
        <w:object w:dxaOrig="1215" w:dyaOrig="330" w14:anchorId="27BF6280">
          <v:shape id="_x0000_i1096" type="#_x0000_t75" style="width:60.75pt;height:16.5pt" o:ole="">
            <v:imagedata r:id="rId98" o:title=""/>
          </v:shape>
          <o:OLEObject Type="Embed" ProgID="Equation.3" ShapeID="_x0000_i1096" DrawAspect="Content" ObjectID="_1587581889" r:id="rId102"/>
        </w:object>
      </w:r>
      <w:r w:rsidR="003B198B" w:rsidRPr="003B198B">
        <w:rPr>
          <w:rFonts w:eastAsia="Times New Roman" w:cs="Times New Roman"/>
          <w:iCs/>
          <w:lang w:val="en-GB"/>
        </w:rPr>
        <w:t xml:space="preserve"> in the condition on when to limit the closed loop part or not, if </w:t>
      </w:r>
      <w:r w:rsidR="003B198B" w:rsidRPr="003B198B">
        <w:rPr>
          <w:rFonts w:eastAsia="Times New Roman" w:cs="Times New Roman"/>
          <w:iCs/>
          <w:position w:val="-12"/>
          <w:lang w:val="en-GB"/>
        </w:rPr>
        <w:object w:dxaOrig="1215" w:dyaOrig="330" w14:anchorId="12632107">
          <v:shape id="_x0000_i1097" type="#_x0000_t75" style="width:60.75pt;height:16.5pt" o:ole="">
            <v:imagedata r:id="rId98" o:title=""/>
          </v:shape>
          <o:OLEObject Type="Embed" ProgID="Equation.3" ShapeID="_x0000_i1097" DrawAspect="Content" ObjectID="_1587581890" r:id="rId103"/>
        </w:object>
      </w:r>
      <w:r w:rsidR="003B198B" w:rsidRPr="003B198B">
        <w:rPr>
          <w:rFonts w:eastAsia="Times New Roman" w:cs="Times New Roman"/>
          <w:iCs/>
          <w:lang w:val="en-GB"/>
        </w:rPr>
        <w:t xml:space="preserve"> uses the same closed loop as </w:t>
      </w:r>
      <w:r w:rsidR="003B198B" w:rsidRPr="003B198B">
        <w:rPr>
          <w:position w:val="-14"/>
        </w:rPr>
        <w:object w:dxaOrig="1800" w:dyaOrig="380" w14:anchorId="2DCC4126">
          <v:shape id="_x0000_i1098" type="#_x0000_t75" style="width:90.1pt;height:18.55pt" o:ole="">
            <v:imagedata r:id="rId91" o:title=""/>
          </v:shape>
          <o:OLEObject Type="Embed" ProgID="Equation.3" ShapeID="_x0000_i1098" DrawAspect="Content" ObjectID="_1587581891" r:id="rId104"/>
        </w:object>
      </w:r>
      <w:r w:rsidR="003B198B" w:rsidRPr="003B198B">
        <w:rPr>
          <w:lang w:val="en-AU"/>
        </w:rPr>
        <w:t xml:space="preserve">. We do however find it natural that the condition on limiting the closed loop is based only </w:t>
      </w:r>
      <w:r w:rsidR="00DA3A39">
        <w:rPr>
          <w:lang w:val="en-AU"/>
        </w:rPr>
        <w:t xml:space="preserve">on </w:t>
      </w:r>
      <w:r w:rsidR="003B198B" w:rsidRPr="003B198B">
        <w:rPr>
          <w:position w:val="-14"/>
        </w:rPr>
        <w:object w:dxaOrig="1800" w:dyaOrig="380" w14:anchorId="1A5E796C">
          <v:shape id="_x0000_i1099" type="#_x0000_t75" style="width:90.1pt;height:18.55pt" o:ole="">
            <v:imagedata r:id="rId91" o:title=""/>
          </v:shape>
          <o:OLEObject Type="Embed" ProgID="Equation.3" ShapeID="_x0000_i1099" DrawAspect="Content" ObjectID="_1587581892" r:id="rId105"/>
        </w:object>
      </w:r>
      <w:r w:rsidR="003B198B" w:rsidRPr="003B198B">
        <w:rPr>
          <w:lang w:val="en-AU"/>
        </w:rPr>
        <w:t xml:space="preserve"> since SRS should follow PUSCH rather than affecting it. Hence, we do not see a need to introduce a condition on </w:t>
      </w:r>
      <w:r w:rsidR="003B198B" w:rsidRPr="003B198B">
        <w:rPr>
          <w:rFonts w:eastAsia="Times New Roman" w:cs="Times New Roman"/>
          <w:iCs/>
          <w:position w:val="-12"/>
          <w:lang w:val="en-GB"/>
        </w:rPr>
        <w:object w:dxaOrig="1215" w:dyaOrig="330" w14:anchorId="23BAE911">
          <v:shape id="_x0000_i1100" type="#_x0000_t75" style="width:60.75pt;height:16.5pt" o:ole="">
            <v:imagedata r:id="rId98" o:title=""/>
          </v:shape>
          <o:OLEObject Type="Embed" ProgID="Equation.3" ShapeID="_x0000_i1100" DrawAspect="Content" ObjectID="_1587581893" r:id="rId106"/>
        </w:object>
      </w:r>
      <w:r w:rsidR="003B198B" w:rsidRPr="003B198B">
        <w:rPr>
          <w:rFonts w:eastAsia="Times New Roman" w:cs="Times New Roman"/>
          <w:iCs/>
          <w:lang w:val="en-GB"/>
        </w:rPr>
        <w:t xml:space="preserve"> when deciding on the accumulation </w:t>
      </w:r>
      <w:r w:rsidR="00DA3A39">
        <w:rPr>
          <w:rFonts w:eastAsia="Times New Roman" w:cs="Times New Roman"/>
          <w:iCs/>
          <w:lang w:val="en-GB"/>
        </w:rPr>
        <w:t>limitation</w:t>
      </w:r>
      <w:r w:rsidR="003B198B" w:rsidRPr="003B198B">
        <w:rPr>
          <w:rFonts w:eastAsia="Times New Roman" w:cs="Times New Roman"/>
          <w:iCs/>
          <w:lang w:val="en-GB"/>
        </w:rPr>
        <w:t xml:space="preserve"> on PUSCH. </w:t>
      </w:r>
    </w:p>
    <w:p w14:paraId="617FF42D" w14:textId="695B8970" w:rsidR="00456794" w:rsidRDefault="004E6076" w:rsidP="0092069A">
      <w:pPr>
        <w:pStyle w:val="Heading2"/>
      </w:pPr>
      <w:r w:rsidRPr="004E6076">
        <w:rPr>
          <w:lang w:val="en-US"/>
        </w:rPr>
        <w:t>Limiting closed loop accumulation</w:t>
      </w:r>
      <w:r w:rsidR="0092069A">
        <w:t xml:space="preserve"> </w:t>
      </w:r>
      <w:r>
        <w:t>for</w:t>
      </w:r>
      <w:r w:rsidR="00160D2A">
        <w:t xml:space="preserve"> DCI format 2_3</w:t>
      </w:r>
    </w:p>
    <w:p w14:paraId="454ACE64" w14:textId="3CC3B2B5" w:rsidR="00160D2A" w:rsidRPr="0051033A" w:rsidRDefault="00160D2A" w:rsidP="0092069A">
      <w:pPr>
        <w:rPr>
          <w:lang w:val="en-AU"/>
        </w:rPr>
      </w:pPr>
      <w:r w:rsidRPr="0051033A">
        <w:rPr>
          <w:lang w:val="en-AU"/>
        </w:rPr>
        <w:t xml:space="preserve">DCI format </w:t>
      </w:r>
      <w:r w:rsidRPr="0051033A">
        <w:rPr>
          <w:rFonts w:hint="eastAsia"/>
          <w:lang w:val="en-AU"/>
        </w:rPr>
        <w:t>2_</w:t>
      </w:r>
      <w:r w:rsidRPr="0051033A">
        <w:rPr>
          <w:lang w:val="en-AU"/>
        </w:rPr>
        <w:t xml:space="preserve">3 is used for the transmission of a group of TPC commands for SRS transmissions by one or more UEs. </w:t>
      </w:r>
      <w:r w:rsidR="00512BA8" w:rsidRPr="0051033A">
        <w:rPr>
          <w:lang w:val="en-AU"/>
        </w:rPr>
        <w:t xml:space="preserve">We find that a solution, </w:t>
      </w:r>
      <w:r w:rsidR="00A06454" w:rsidRPr="00716732">
        <w:rPr>
          <w:color w:val="000000"/>
          <w:lang w:val="en-AU"/>
        </w:rPr>
        <w:t>analogous</w:t>
      </w:r>
      <w:r w:rsidR="00512BA8" w:rsidRPr="0051033A">
        <w:rPr>
          <w:lang w:val="en-AU"/>
        </w:rPr>
        <w:t xml:space="preserve"> to the solution for DCI format 2_2, should be adopted for defining when to limit TPC accumulation in case of DCI format 2_3.  </w:t>
      </w:r>
    </w:p>
    <w:p w14:paraId="12BF77F0" w14:textId="77777777" w:rsidR="00512BA8" w:rsidRPr="00456794" w:rsidRDefault="00512BA8" w:rsidP="00512BA8">
      <w:pPr>
        <w:rPr>
          <w:b/>
          <w:u w:val="single"/>
        </w:rPr>
      </w:pPr>
      <w:r>
        <w:rPr>
          <w:b/>
          <w:u w:val="single"/>
        </w:rPr>
        <w:t>Proposal</w:t>
      </w:r>
    </w:p>
    <w:p w14:paraId="14021D18" w14:textId="13E0D3DE" w:rsidR="00183F76" w:rsidRPr="0051033A" w:rsidRDefault="00512BA8" w:rsidP="007651FB">
      <w:pPr>
        <w:pStyle w:val="ListParagraph"/>
        <w:numPr>
          <w:ilvl w:val="0"/>
          <w:numId w:val="16"/>
        </w:numPr>
        <w:rPr>
          <w:lang w:val="en-AU"/>
        </w:rPr>
      </w:pPr>
      <w:r w:rsidRPr="0051033A">
        <w:rPr>
          <w:lang w:val="en-AU"/>
        </w:rPr>
        <w:t>Defining when to limit TPC accumulat</w:t>
      </w:r>
      <w:r w:rsidR="00A853FE" w:rsidRPr="0051033A">
        <w:rPr>
          <w:lang w:val="en-AU"/>
        </w:rPr>
        <w:t>ion in case of DCI format 2_3 is</w:t>
      </w:r>
      <w:r w:rsidRPr="0051033A">
        <w:rPr>
          <w:lang w:val="en-AU"/>
        </w:rPr>
        <w:t xml:space="preserve"> </w:t>
      </w:r>
      <w:r w:rsidR="00A853FE">
        <w:rPr>
          <w:rFonts w:ascii="Times New Roman" w:hAnsi="Times New Roman"/>
          <w:color w:val="000000"/>
          <w:szCs w:val="20"/>
          <w:lang w:val="en-AU"/>
        </w:rPr>
        <w:t xml:space="preserve">done in </w:t>
      </w:r>
      <w:r w:rsidR="00716732" w:rsidRPr="00716732">
        <w:rPr>
          <w:rFonts w:ascii="Times New Roman" w:hAnsi="Times New Roman"/>
          <w:color w:val="000000"/>
          <w:szCs w:val="20"/>
          <w:lang w:val="en-AU"/>
        </w:rPr>
        <w:t xml:space="preserve">an analogous </w:t>
      </w:r>
      <w:r w:rsidR="00A853FE">
        <w:rPr>
          <w:rFonts w:ascii="Times New Roman" w:hAnsi="Times New Roman"/>
          <w:color w:val="000000"/>
          <w:szCs w:val="20"/>
          <w:lang w:val="en-AU"/>
        </w:rPr>
        <w:t xml:space="preserve">manner as for </w:t>
      </w:r>
      <w:r w:rsidRPr="0051033A">
        <w:rPr>
          <w:lang w:val="en-AU"/>
        </w:rPr>
        <w:t xml:space="preserve">DCI format 2_2. </w:t>
      </w:r>
    </w:p>
    <w:p w14:paraId="624DE66B" w14:textId="77777777" w:rsidR="00F709F6" w:rsidRPr="00CE0424" w:rsidRDefault="00F709F6" w:rsidP="00F709F6">
      <w:pPr>
        <w:pStyle w:val="Heading1"/>
      </w:pPr>
      <w:r w:rsidRPr="00CE0424">
        <w:t>Conclusion</w:t>
      </w:r>
      <w:r>
        <w:t>s</w:t>
      </w:r>
    </w:p>
    <w:p w14:paraId="52432EB9" w14:textId="6255EBA8" w:rsidR="00F709F6" w:rsidRPr="00F709F6" w:rsidRDefault="00F709F6" w:rsidP="00F709F6">
      <w:pPr>
        <w:pStyle w:val="TOC1"/>
        <w:rPr>
          <w:b w:val="0"/>
          <w:lang w:val="en-AU"/>
        </w:rPr>
      </w:pPr>
      <w:r w:rsidRPr="001406F4">
        <w:rPr>
          <w:b w:val="0"/>
          <w:lang w:val="en-AU"/>
        </w:rPr>
        <w:t>Based on the discussion in this contribution we propose the following:</w:t>
      </w:r>
    </w:p>
    <w:p w14:paraId="74D63196" w14:textId="381C9E12" w:rsidR="00A9105B" w:rsidRPr="00A9105B" w:rsidRDefault="00A9105B" w:rsidP="00A9105B">
      <w:pPr>
        <w:pStyle w:val="ListParagraph"/>
        <w:numPr>
          <w:ilvl w:val="0"/>
          <w:numId w:val="16"/>
        </w:numPr>
        <w:rPr>
          <w:lang w:val="en-GB" w:eastAsia="zh-CN"/>
        </w:rPr>
      </w:pPr>
      <w:r>
        <w:rPr>
          <w:lang w:val="en-GB" w:eastAsia="zh-CN"/>
        </w:rPr>
        <w:t xml:space="preserve">Confirm the working assumption on </w:t>
      </w:r>
      <w:r w:rsidRPr="005B5B14">
        <w:rPr>
          <w:lang w:val="en-AU"/>
        </w:rPr>
        <w:t>group-common TPC</w:t>
      </w:r>
      <w:r>
        <w:rPr>
          <w:lang w:val="en-AU"/>
        </w:rPr>
        <w:t xml:space="preserve"> </w:t>
      </w:r>
      <w:r w:rsidRPr="005B5B14">
        <w:rPr>
          <w:lang w:val="en-AU"/>
        </w:rPr>
        <w:t>in DCI format 2-2</w:t>
      </w:r>
      <w:r>
        <w:rPr>
          <w:lang w:val="en-GB" w:eastAsia="zh-CN"/>
        </w:rPr>
        <w:t xml:space="preserve">. </w:t>
      </w:r>
    </w:p>
    <w:p w14:paraId="5656E7EB" w14:textId="5938D87E" w:rsidR="00D2409C" w:rsidRPr="0051033A" w:rsidRDefault="00D2409C" w:rsidP="007651FB">
      <w:pPr>
        <w:pStyle w:val="ListParagraph"/>
        <w:numPr>
          <w:ilvl w:val="0"/>
          <w:numId w:val="16"/>
        </w:numPr>
        <w:rPr>
          <w:lang w:val="en-AU"/>
        </w:rPr>
      </w:pPr>
      <w:r w:rsidRPr="0051033A">
        <w:rPr>
          <w:lang w:val="en-AU" w:eastAsia="en-US"/>
        </w:rPr>
        <w:t xml:space="preserve">For </w:t>
      </w:r>
      <w:r w:rsidRPr="0051033A">
        <w:rPr>
          <w:lang w:val="en-AU"/>
        </w:rPr>
        <w:t xml:space="preserve">DCI formats 0_0 and 0_1 </w:t>
      </w:r>
      <w:r>
        <w:rPr>
          <w:lang w:val="en-AU"/>
        </w:rPr>
        <w:t xml:space="preserve">associated with an UL grant </w:t>
      </w:r>
      <w:r w:rsidRPr="0051033A">
        <w:rPr>
          <w:lang w:val="en-AU"/>
        </w:rPr>
        <w:t xml:space="preserve">corresponding to </w:t>
      </w:r>
      <w:r w:rsidRPr="00D93762">
        <w:rPr>
          <w:position w:val="-12"/>
        </w:rPr>
        <w:object w:dxaOrig="999" w:dyaOrig="360" w14:anchorId="5F619C42">
          <v:shape id="_x0000_i1101" type="#_x0000_t75" style="width:50.35pt;height:18.1pt" o:ole="">
            <v:imagedata r:id="rId52" o:title=""/>
          </v:shape>
          <o:OLEObject Type="Embed" ProgID="Equation.3" ShapeID="_x0000_i1101" DrawAspect="Content" ObjectID="_1587581894" r:id="rId107"/>
        </w:object>
      </w:r>
      <w:r w:rsidRPr="0051033A">
        <w:rPr>
          <w:lang w:val="en-AU"/>
        </w:rPr>
        <w:t xml:space="preserve">: </w:t>
      </w:r>
    </w:p>
    <w:p w14:paraId="5F0C0F2A" w14:textId="0DBE0D72" w:rsidR="00D2409C" w:rsidRDefault="00D2409C" w:rsidP="007651FB">
      <w:pPr>
        <w:pStyle w:val="B2"/>
        <w:numPr>
          <w:ilvl w:val="1"/>
          <w:numId w:val="16"/>
        </w:numPr>
      </w:pPr>
      <w:r w:rsidRPr="0051033A">
        <w:rPr>
          <w:lang w:val="en-AU"/>
        </w:rPr>
        <w:t xml:space="preserve">If </w:t>
      </w:r>
      <w:r w:rsidRPr="000C150E">
        <w:t xml:space="preserve">the </w:t>
      </w:r>
      <w:r w:rsidRPr="0051033A">
        <w:rPr>
          <w:lang w:val="en-AU"/>
        </w:rPr>
        <w:t xml:space="preserve">UE has reached </w:t>
      </w:r>
      <w:r w:rsidRPr="000C150E">
        <w:rPr>
          <w:position w:val="-14"/>
          <w:lang w:val="x-none"/>
        </w:rPr>
        <w:object w:dxaOrig="1080" w:dyaOrig="380" w14:anchorId="3EB46B2A">
          <v:shape id="_x0000_i1102" type="#_x0000_t75" style="width:53.9pt;height:18.55pt" o:ole="">
            <v:imagedata r:id="rId48" o:title=""/>
          </v:shape>
          <o:OLEObject Type="Embed" ProgID="Equation.3" ShapeID="_x0000_i1102" DrawAspect="Content" ObjectID="_1587581895" r:id="rId108"/>
        </w:object>
      </w:r>
      <w:r w:rsidRPr="0051033A">
        <w:rPr>
          <w:lang w:val="en-AU"/>
        </w:rPr>
        <w:t xml:space="preserve"> for </w:t>
      </w:r>
      <w:r>
        <w:t xml:space="preserve">carrier </w:t>
      </w:r>
      <w:r>
        <w:rPr>
          <w:iCs/>
          <w:position w:val="-10"/>
          <w:lang w:val="x-none"/>
        </w:rPr>
        <w:object w:dxaOrig="225" w:dyaOrig="300" w14:anchorId="2A800645">
          <v:shape id="_x0000_i1103" type="#_x0000_t75" style="width:11.05pt;height:15pt" o:ole="">
            <v:imagedata r:id="rId12" o:title=""/>
          </v:shape>
          <o:OLEObject Type="Embed" ProgID="Equation.3" ShapeID="_x0000_i1103" DrawAspect="Content" ObjectID="_1587581896" r:id="rId109"/>
        </w:object>
      </w:r>
      <w:r>
        <w:rPr>
          <w:iCs/>
        </w:rPr>
        <w:t xml:space="preserve"> of</w:t>
      </w:r>
      <w:r>
        <w:t xml:space="preserve"> </w:t>
      </w:r>
      <w:r w:rsidRPr="0051033A">
        <w:rPr>
          <w:lang w:val="en-AU"/>
        </w:rPr>
        <w:t xml:space="preserve">serving cell </w:t>
      </w:r>
      <w:r w:rsidRPr="00D2409C">
        <w:rPr>
          <w:position w:val="-6"/>
          <w:lang w:val="x-none"/>
        </w:rPr>
        <w:object w:dxaOrig="165" w:dyaOrig="195" w14:anchorId="0C7D6102">
          <v:shape id="_x0000_i1104" type="#_x0000_t75" style="width:8.4pt;height:9.7pt" o:ole="">
            <v:imagedata r:id="rId14" o:title=""/>
          </v:shape>
          <o:OLEObject Type="Embed" ProgID="Equation.3" ShapeID="_x0000_i1104" DrawAspect="Content" ObjectID="_1587581897" r:id="rId110"/>
        </w:object>
      </w:r>
      <w:r w:rsidRPr="000C150E">
        <w:rPr>
          <w:lang w:val="en-AU"/>
        </w:rPr>
        <w:t xml:space="preserve">, </w:t>
      </w:r>
      <w:r w:rsidRPr="000C150E">
        <w:t>for the given</w:t>
      </w:r>
      <w:r w:rsidR="00DE21DD" w:rsidRPr="00185A69">
        <w:rPr>
          <w:position w:val="-16"/>
        </w:rPr>
        <w:object w:dxaOrig="1939" w:dyaOrig="400" w14:anchorId="584943E2">
          <v:shape id="_x0000_i1105" type="#_x0000_t75" style="width:96.75pt;height:19.9pt" o:ole="">
            <v:imagedata r:id="rId44" o:title=""/>
          </v:shape>
          <o:OLEObject Type="Embed" ProgID="Equation.3" ShapeID="_x0000_i1105" DrawAspect="Content" ObjectID="_1587581898" r:id="rId111"/>
        </w:object>
      </w:r>
      <w:r w:rsidRPr="0051033A">
        <w:rPr>
          <w:lang w:val="en-AU"/>
        </w:rPr>
        <w:t xml:space="preserve">, positive TPC commands for </w:t>
      </w:r>
      <w:r>
        <w:t xml:space="preserve">carrier </w:t>
      </w:r>
      <w:r>
        <w:rPr>
          <w:iCs/>
          <w:position w:val="-10"/>
          <w:lang w:val="x-none"/>
        </w:rPr>
        <w:object w:dxaOrig="225" w:dyaOrig="300" w14:anchorId="1A20EDF9">
          <v:shape id="_x0000_i1106" type="#_x0000_t75" style="width:11.05pt;height:15pt" o:ole="">
            <v:imagedata r:id="rId12" o:title=""/>
          </v:shape>
          <o:OLEObject Type="Embed" ProgID="Equation.3" ShapeID="_x0000_i1106" DrawAspect="Content" ObjectID="_1587581899" r:id="rId112"/>
        </w:object>
      </w:r>
      <w:r>
        <w:rPr>
          <w:iCs/>
        </w:rPr>
        <w:t xml:space="preserve"> of</w:t>
      </w:r>
      <w:r>
        <w:t xml:space="preserve"> </w:t>
      </w:r>
      <w:r w:rsidRPr="0051033A">
        <w:rPr>
          <w:lang w:val="en-AU"/>
        </w:rPr>
        <w:t xml:space="preserve">serving cell </w:t>
      </w:r>
      <w:r>
        <w:rPr>
          <w:position w:val="-6"/>
          <w:lang w:val="x-none"/>
        </w:rPr>
        <w:object w:dxaOrig="165" w:dyaOrig="195" w14:anchorId="7C561BCE">
          <v:shape id="_x0000_i1107" type="#_x0000_t75" style="width:8.4pt;height:9.7pt" o:ole="">
            <v:imagedata r:id="rId14" o:title=""/>
          </v:shape>
          <o:OLEObject Type="Embed" ProgID="Equation.3" ShapeID="_x0000_i1107" DrawAspect="Content" ObjectID="_1587581900" r:id="rId113"/>
        </w:object>
      </w:r>
      <w:r w:rsidRPr="0051033A">
        <w:rPr>
          <w:lang w:val="en-AU"/>
        </w:rPr>
        <w:t xml:space="preserve"> shall not be accumulated </w:t>
      </w:r>
      <w:r w:rsidRPr="000C150E">
        <w:t xml:space="preserve">for that given </w:t>
      </w:r>
      <w:r w:rsidRPr="000C150E">
        <w:rPr>
          <w:position w:val="-6"/>
        </w:rPr>
        <w:object w:dxaOrig="139" w:dyaOrig="279" w14:anchorId="0E75B070">
          <v:shape id="_x0000_i1108" type="#_x0000_t75" style="width:6.65pt;height:14.15pt" o:ole="">
            <v:imagedata r:id="rId60" o:title=""/>
          </v:shape>
          <o:OLEObject Type="Embed" ProgID="Equation.3" ShapeID="_x0000_i1108" DrawAspect="Content" ObjectID="_1587581901" r:id="rId114"/>
        </w:object>
      </w:r>
      <w:r>
        <w:t>.</w:t>
      </w:r>
    </w:p>
    <w:p w14:paraId="6CAEB491" w14:textId="54C1693A" w:rsidR="00D2409C" w:rsidRPr="000C150E" w:rsidRDefault="00D2409C" w:rsidP="007651FB">
      <w:pPr>
        <w:pStyle w:val="B2"/>
        <w:numPr>
          <w:ilvl w:val="1"/>
          <w:numId w:val="16"/>
        </w:numPr>
      </w:pPr>
      <w:r w:rsidRPr="0051033A">
        <w:rPr>
          <w:lang w:val="en-AU"/>
        </w:rPr>
        <w:t>If UE has reached minimum power</w:t>
      </w:r>
      <w:r w:rsidRPr="00D2409C">
        <w:t xml:space="preserve"> for</w:t>
      </w:r>
      <w:r>
        <w:t xml:space="preserve"> carrier </w:t>
      </w:r>
      <w:r>
        <w:rPr>
          <w:iCs/>
          <w:position w:val="-10"/>
          <w:lang w:val="x-none"/>
        </w:rPr>
        <w:object w:dxaOrig="225" w:dyaOrig="300" w14:anchorId="53FE833E">
          <v:shape id="_x0000_i1109" type="#_x0000_t75" style="width:11.05pt;height:15pt" o:ole="">
            <v:imagedata r:id="rId12" o:title=""/>
          </v:shape>
          <o:OLEObject Type="Embed" ProgID="Equation.3" ShapeID="_x0000_i1109" DrawAspect="Content" ObjectID="_1587581902" r:id="rId115"/>
        </w:object>
      </w:r>
      <w:r>
        <w:rPr>
          <w:iCs/>
        </w:rPr>
        <w:t xml:space="preserve"> of </w:t>
      </w:r>
      <w:r w:rsidRPr="0051033A">
        <w:rPr>
          <w:lang w:val="en-AU"/>
        </w:rPr>
        <w:t xml:space="preserve">serving cell </w:t>
      </w:r>
      <w:r>
        <w:rPr>
          <w:position w:val="-6"/>
          <w:lang w:val="x-none"/>
        </w:rPr>
        <w:object w:dxaOrig="165" w:dyaOrig="195" w14:anchorId="65FDB118">
          <v:shape id="_x0000_i1110" type="#_x0000_t75" style="width:8.4pt;height:9.7pt" o:ole="">
            <v:imagedata r:id="rId14" o:title=""/>
          </v:shape>
          <o:OLEObject Type="Embed" ProgID="Equation.3" ShapeID="_x0000_i1110" DrawAspect="Content" ObjectID="_1587581903" r:id="rId116"/>
        </w:object>
      </w:r>
      <w:r w:rsidRPr="0051033A">
        <w:rPr>
          <w:lang w:val="en-AU"/>
        </w:rPr>
        <w:t xml:space="preserve">, </w:t>
      </w:r>
      <w:r w:rsidRPr="000C150E">
        <w:t>for the given</w:t>
      </w:r>
      <w:r w:rsidR="00DE21DD" w:rsidRPr="00185A69">
        <w:rPr>
          <w:position w:val="-16"/>
        </w:rPr>
        <w:object w:dxaOrig="1939" w:dyaOrig="400" w14:anchorId="3412EAAB">
          <v:shape id="_x0000_i1111" type="#_x0000_t75" style="width:96.75pt;height:19.9pt" o:ole="">
            <v:imagedata r:id="rId44" o:title=""/>
          </v:shape>
          <o:OLEObject Type="Embed" ProgID="Equation.3" ShapeID="_x0000_i1111" DrawAspect="Content" ObjectID="_1587581904" r:id="rId117"/>
        </w:object>
      </w:r>
      <w:r w:rsidRPr="0051033A">
        <w:rPr>
          <w:lang w:val="en-AU"/>
        </w:rPr>
        <w:t xml:space="preserve">, negative TPC commands </w:t>
      </w:r>
      <w:r>
        <w:t xml:space="preserve">for carrier </w:t>
      </w:r>
      <w:r>
        <w:rPr>
          <w:iCs/>
          <w:position w:val="-10"/>
          <w:lang w:val="x-none"/>
        </w:rPr>
        <w:object w:dxaOrig="225" w:dyaOrig="300" w14:anchorId="5514A6DF">
          <v:shape id="_x0000_i1112" type="#_x0000_t75" style="width:11.05pt;height:15pt" o:ole="">
            <v:imagedata r:id="rId12" o:title=""/>
          </v:shape>
          <o:OLEObject Type="Embed" ProgID="Equation.3" ShapeID="_x0000_i1112" DrawAspect="Content" ObjectID="_1587581905" r:id="rId118"/>
        </w:object>
      </w:r>
      <w:r>
        <w:rPr>
          <w:iCs/>
        </w:rPr>
        <w:t xml:space="preserve"> of </w:t>
      </w:r>
      <w:r w:rsidRPr="0051033A">
        <w:rPr>
          <w:lang w:val="en-AU"/>
        </w:rPr>
        <w:t xml:space="preserve">serving cell </w:t>
      </w:r>
      <w:r>
        <w:rPr>
          <w:position w:val="-6"/>
          <w:lang w:val="x-none"/>
        </w:rPr>
        <w:object w:dxaOrig="165" w:dyaOrig="195" w14:anchorId="1452A0A4">
          <v:shape id="_x0000_i1113" type="#_x0000_t75" style="width:8.4pt;height:9.7pt" o:ole="">
            <v:imagedata r:id="rId14" o:title=""/>
          </v:shape>
          <o:OLEObject Type="Embed" ProgID="Equation.3" ShapeID="_x0000_i1113" DrawAspect="Content" ObjectID="_1587581906" r:id="rId119"/>
        </w:object>
      </w:r>
      <w:r>
        <w:t xml:space="preserve"> </w:t>
      </w:r>
      <w:r w:rsidRPr="0051033A">
        <w:rPr>
          <w:lang w:val="en-AU"/>
        </w:rPr>
        <w:t xml:space="preserve">shall not be accumulated </w:t>
      </w:r>
      <w:r w:rsidRPr="000C150E">
        <w:t xml:space="preserve">for that given </w:t>
      </w:r>
      <w:r w:rsidRPr="000C150E">
        <w:rPr>
          <w:position w:val="-6"/>
        </w:rPr>
        <w:object w:dxaOrig="139" w:dyaOrig="279" w14:anchorId="40E96F12">
          <v:shape id="_x0000_i1114" type="#_x0000_t75" style="width:6.65pt;height:14.15pt" o:ole="">
            <v:imagedata r:id="rId60" o:title=""/>
          </v:shape>
          <o:OLEObject Type="Embed" ProgID="Equation.3" ShapeID="_x0000_i1114" DrawAspect="Content" ObjectID="_1587581907" r:id="rId120"/>
        </w:object>
      </w:r>
    </w:p>
    <w:p w14:paraId="2379A550" w14:textId="779DBE66" w:rsidR="00693617" w:rsidRPr="0051033A" w:rsidRDefault="00693617">
      <w:pPr>
        <w:pStyle w:val="ListParagraph"/>
        <w:numPr>
          <w:ilvl w:val="0"/>
          <w:numId w:val="16"/>
        </w:numPr>
        <w:rPr>
          <w:lang w:val="en-AU"/>
        </w:rPr>
      </w:pPr>
      <w:r w:rsidRPr="0051033A">
        <w:rPr>
          <w:lang w:val="en-AU"/>
        </w:rPr>
        <w:t xml:space="preserve">Closed loop power control for PUCCH given DCI </w:t>
      </w:r>
      <w:r w:rsidRPr="0051033A">
        <w:rPr>
          <w:rFonts w:ascii="Times New Roman" w:hAnsi="Times New Roman"/>
          <w:lang w:val="en-AU"/>
        </w:rPr>
        <w:t xml:space="preserve">formats 1_0 and 1_1 </w:t>
      </w:r>
      <w:r w:rsidRPr="00716732">
        <w:rPr>
          <w:rFonts w:ascii="Times New Roman" w:hAnsi="Times New Roman"/>
          <w:color w:val="000000"/>
          <w:szCs w:val="20"/>
          <w:lang w:val="en-AU"/>
        </w:rPr>
        <w:t>adopts an analogous solution</w:t>
      </w:r>
      <w:r>
        <w:rPr>
          <w:rFonts w:ascii="Times New Roman" w:hAnsi="Times New Roman"/>
          <w:color w:val="000000"/>
          <w:szCs w:val="20"/>
          <w:lang w:val="en-AU"/>
        </w:rPr>
        <w:t xml:space="preserve"> to DCI formats 0_0 and 0_1 for limiting accumulation</w:t>
      </w:r>
    </w:p>
    <w:p w14:paraId="799E4AD5" w14:textId="77777777" w:rsidR="00A26A6B" w:rsidRPr="0051033A" w:rsidRDefault="00A26A6B" w:rsidP="007651FB">
      <w:pPr>
        <w:pStyle w:val="ListParagraph"/>
        <w:rPr>
          <w:lang w:val="en-AU"/>
        </w:rPr>
      </w:pPr>
    </w:p>
    <w:p w14:paraId="19D85364" w14:textId="282EC404" w:rsidR="00693617" w:rsidRPr="0051033A" w:rsidRDefault="00693617" w:rsidP="007651FB">
      <w:pPr>
        <w:pStyle w:val="ListParagraph"/>
        <w:numPr>
          <w:ilvl w:val="0"/>
          <w:numId w:val="16"/>
        </w:numPr>
        <w:rPr>
          <w:lang w:val="en-AU" w:eastAsia="en-US"/>
        </w:rPr>
      </w:pPr>
      <w:r w:rsidRPr="0051033A">
        <w:rPr>
          <w:lang w:val="en-AU" w:eastAsia="en-US"/>
        </w:rPr>
        <w:t xml:space="preserve">Limitation of the closed loop accumulation for PUSCH in the case of </w:t>
      </w:r>
      <w:r w:rsidRPr="0051033A">
        <w:rPr>
          <w:lang w:val="en-AU"/>
        </w:rPr>
        <w:t xml:space="preserve">DCI format 2_2 </w:t>
      </w:r>
      <w:r w:rsidRPr="0051033A">
        <w:rPr>
          <w:lang w:val="en-AU" w:eastAsia="en-US"/>
        </w:rPr>
        <w:t xml:space="preserve">should be based on a condition on all </w:t>
      </w:r>
      <w:r w:rsidRPr="00456794">
        <w:rPr>
          <w:position w:val="-14"/>
        </w:rPr>
        <w:object w:dxaOrig="1800" w:dyaOrig="380" w14:anchorId="658AA6F5">
          <v:shape id="_x0000_i1115" type="#_x0000_t75" style="width:90.1pt;height:18.55pt" o:ole="">
            <v:imagedata r:id="rId91" o:title=""/>
          </v:shape>
          <o:OLEObject Type="Embed" ProgID="Equation.3" ShapeID="_x0000_i1115" DrawAspect="Content" ObjectID="_1587581908" r:id="rId121"/>
        </w:object>
      </w:r>
      <w:r w:rsidRPr="0051033A">
        <w:rPr>
          <w:lang w:val="en-AU"/>
        </w:rPr>
        <w:t xml:space="preserve"> </w:t>
      </w:r>
      <w:r w:rsidRPr="0051033A">
        <w:rPr>
          <w:lang w:val="en-AU" w:eastAsia="en-US"/>
        </w:rPr>
        <w:t xml:space="preserve">affected by the group common DCI. </w:t>
      </w:r>
    </w:p>
    <w:p w14:paraId="1B03EA96" w14:textId="0B0FE298" w:rsidR="00693617" w:rsidRPr="0051033A" w:rsidRDefault="00693617" w:rsidP="007651FB">
      <w:pPr>
        <w:pStyle w:val="ListParagraph"/>
        <w:numPr>
          <w:ilvl w:val="1"/>
          <w:numId w:val="16"/>
        </w:numPr>
        <w:rPr>
          <w:lang w:val="en-AU"/>
        </w:rPr>
      </w:pP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If for all </w:t>
      </w:r>
      <w:r w:rsidRPr="00D2409C">
        <w:rPr>
          <w:position w:val="-16"/>
          <w:lang w:eastAsia="en-US"/>
        </w:rPr>
        <w:object w:dxaOrig="1939" w:dyaOrig="400" w14:anchorId="1333FE64">
          <v:shape id="_x0000_i1116" type="#_x0000_t75" style="width:96.75pt;height:20.3pt" o:ole="">
            <v:imagedata r:id="rId76" o:title=""/>
          </v:shape>
          <o:OLEObject Type="Embed" ProgID="Equation.3" ShapeID="_x0000_i1116" DrawAspect="Content" ObjectID="_1587581909" r:id="rId122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>, affected by the TPC</w:t>
      </w:r>
      <w:r w:rsidR="00A26A6B" w:rsidRPr="0051033A">
        <w:rPr>
          <w:rFonts w:ascii="Times New Roman" w:eastAsia="Times New Roman" w:hAnsi="Times New Roman"/>
          <w:szCs w:val="20"/>
          <w:lang w:val="en-AU" w:eastAsia="en-US"/>
        </w:rPr>
        <w:t xml:space="preserve"> command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>, the condition</w:t>
      </w:r>
      <w:r w:rsidRPr="00D2409C">
        <w:rPr>
          <w:position w:val="-16"/>
          <w:lang w:eastAsia="en-US"/>
        </w:rPr>
        <w:object w:dxaOrig="3300" w:dyaOrig="400" w14:anchorId="4CB2FFB2">
          <v:shape id="_x0000_i1117" type="#_x0000_t75" style="width:165.15pt;height:20.3pt" o:ole="">
            <v:imagedata r:id="rId78" o:title=""/>
          </v:shape>
          <o:OLEObject Type="Embed" ProgID="Equation.3" ShapeID="_x0000_i1117" DrawAspect="Content" ObjectID="_1587581910" r:id="rId123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 holds then </w:t>
      </w:r>
      <w:r w:rsidRPr="0051033A">
        <w:rPr>
          <w:lang w:val="en-AU"/>
        </w:rPr>
        <w:t xml:space="preserve">positive TPC commands should not be accumulated. </w:t>
      </w:r>
    </w:p>
    <w:p w14:paraId="004B4C5F" w14:textId="32F72DBA" w:rsidR="00693617" w:rsidRPr="0051033A" w:rsidRDefault="00693617">
      <w:pPr>
        <w:pStyle w:val="ListParagraph"/>
        <w:numPr>
          <w:ilvl w:val="1"/>
          <w:numId w:val="16"/>
        </w:numPr>
        <w:rPr>
          <w:lang w:val="en-AU"/>
        </w:rPr>
      </w:pPr>
      <w:r w:rsidRPr="0051033A">
        <w:rPr>
          <w:rFonts w:ascii="Times New Roman" w:eastAsia="Times New Roman" w:hAnsi="Times New Roman"/>
          <w:szCs w:val="20"/>
          <w:lang w:val="en-AU" w:eastAsia="en-US"/>
        </w:rPr>
        <w:lastRenderedPageBreak/>
        <w:t xml:space="preserve">If for all </w:t>
      </w:r>
      <w:r w:rsidRPr="000C150E">
        <w:rPr>
          <w:position w:val="-16"/>
          <w:lang w:eastAsia="en-US"/>
        </w:rPr>
        <w:object w:dxaOrig="1939" w:dyaOrig="400" w14:anchorId="0A082071">
          <v:shape id="_x0000_i1118" type="#_x0000_t75" style="width:96.75pt;height:20.3pt" o:ole="">
            <v:imagedata r:id="rId76" o:title=""/>
          </v:shape>
          <o:OLEObject Type="Embed" ProgID="Equation.3" ShapeID="_x0000_i1118" DrawAspect="Content" ObjectID="_1587581911" r:id="rId124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>, affected by the TPC</w:t>
      </w:r>
      <w:r w:rsidR="00A26A6B" w:rsidRPr="0051033A">
        <w:rPr>
          <w:rFonts w:ascii="Times New Roman" w:eastAsia="Times New Roman" w:hAnsi="Times New Roman"/>
          <w:szCs w:val="20"/>
          <w:lang w:val="en-AU" w:eastAsia="en-US"/>
        </w:rPr>
        <w:t xml:space="preserve"> command</w: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, the condition </w:t>
      </w:r>
      <w:r w:rsidRPr="00456794">
        <w:rPr>
          <w:position w:val="-14"/>
          <w:lang w:eastAsia="en-US"/>
        </w:rPr>
        <w:object w:dxaOrig="1980" w:dyaOrig="380" w14:anchorId="74D13B2E">
          <v:shape id="_x0000_i1119" type="#_x0000_t75" style="width:98.9pt;height:19.45pt" o:ole="">
            <v:imagedata r:id="rId96" o:title=""/>
          </v:shape>
          <o:OLEObject Type="Embed" ProgID="Equation.3" ShapeID="_x0000_i1119" DrawAspect="Content" ObjectID="_1587581912" r:id="rId125"/>
        </w:object>
      </w:r>
      <w:r w:rsidRPr="0051033A">
        <w:rPr>
          <w:rFonts w:ascii="Times New Roman" w:eastAsia="Times New Roman" w:hAnsi="Times New Roman"/>
          <w:szCs w:val="20"/>
          <w:lang w:val="en-AU" w:eastAsia="en-US"/>
        </w:rPr>
        <w:t xml:space="preserve">minimum_power holds then </w:t>
      </w:r>
      <w:r w:rsidRPr="0051033A">
        <w:rPr>
          <w:lang w:val="en-AU"/>
        </w:rPr>
        <w:t xml:space="preserve">negative TPC commands should not be accumulated. </w:t>
      </w:r>
    </w:p>
    <w:p w14:paraId="3D5466A8" w14:textId="77777777" w:rsidR="00A26A6B" w:rsidRPr="0051033A" w:rsidRDefault="00A26A6B" w:rsidP="007651FB">
      <w:pPr>
        <w:pStyle w:val="ListParagraph"/>
        <w:ind w:left="1440"/>
        <w:rPr>
          <w:lang w:val="en-AU"/>
        </w:rPr>
      </w:pPr>
    </w:p>
    <w:p w14:paraId="4B736FE3" w14:textId="76EABA96" w:rsidR="00693617" w:rsidRPr="0051033A" w:rsidRDefault="00693617">
      <w:pPr>
        <w:pStyle w:val="ListParagraph"/>
        <w:numPr>
          <w:ilvl w:val="0"/>
          <w:numId w:val="16"/>
        </w:numPr>
        <w:rPr>
          <w:lang w:val="en-AU"/>
        </w:rPr>
      </w:pPr>
      <w:r w:rsidRPr="0051033A">
        <w:rPr>
          <w:lang w:val="en-AU"/>
        </w:rPr>
        <w:t xml:space="preserve">Closed loop power control for PUCCH given DCI format 2_2 </w:t>
      </w:r>
      <w:r w:rsidRPr="00716732">
        <w:rPr>
          <w:rFonts w:ascii="Times New Roman" w:hAnsi="Times New Roman"/>
          <w:color w:val="000000"/>
          <w:szCs w:val="20"/>
          <w:lang w:val="en-AU"/>
        </w:rPr>
        <w:t>adopts an analogous solution</w:t>
      </w:r>
      <w:r>
        <w:rPr>
          <w:rFonts w:ascii="Times New Roman" w:hAnsi="Times New Roman"/>
          <w:color w:val="000000"/>
          <w:szCs w:val="20"/>
          <w:lang w:val="en-AU"/>
        </w:rPr>
        <w:t xml:space="preserve"> to PUSCH</w:t>
      </w:r>
      <w:r w:rsidRPr="00693617">
        <w:rPr>
          <w:rFonts w:ascii="Times New Roman" w:hAnsi="Times New Roman"/>
          <w:color w:val="000000"/>
          <w:szCs w:val="20"/>
          <w:lang w:val="en-AU"/>
        </w:rPr>
        <w:t xml:space="preserve"> </w:t>
      </w:r>
      <w:r>
        <w:rPr>
          <w:rFonts w:ascii="Times New Roman" w:hAnsi="Times New Roman"/>
          <w:color w:val="000000"/>
          <w:szCs w:val="20"/>
          <w:lang w:val="en-AU"/>
        </w:rPr>
        <w:t xml:space="preserve">given DCI format 2_2 for limiting accumulation. </w:t>
      </w:r>
    </w:p>
    <w:p w14:paraId="26050847" w14:textId="77777777" w:rsidR="00A26A6B" w:rsidRPr="0051033A" w:rsidRDefault="00A26A6B" w:rsidP="007651FB">
      <w:pPr>
        <w:pStyle w:val="ListParagraph"/>
        <w:rPr>
          <w:lang w:val="en-AU"/>
        </w:rPr>
      </w:pPr>
    </w:p>
    <w:p w14:paraId="133936B7" w14:textId="74CE9425" w:rsidR="00693617" w:rsidRPr="0051033A" w:rsidRDefault="00693617" w:rsidP="007651FB">
      <w:pPr>
        <w:pStyle w:val="ListParagraph"/>
        <w:numPr>
          <w:ilvl w:val="0"/>
          <w:numId w:val="16"/>
        </w:numPr>
        <w:rPr>
          <w:lang w:val="en-AU"/>
        </w:rPr>
      </w:pPr>
      <w:r w:rsidRPr="0051033A">
        <w:rPr>
          <w:lang w:val="en-AU"/>
        </w:rPr>
        <w:t xml:space="preserve">Defining when to limit TPC accumulation in case of DCI format 2_3 is </w:t>
      </w:r>
      <w:r>
        <w:rPr>
          <w:rFonts w:ascii="Times New Roman" w:hAnsi="Times New Roman"/>
          <w:color w:val="000000"/>
          <w:szCs w:val="20"/>
          <w:lang w:val="en-AU"/>
        </w:rPr>
        <w:t xml:space="preserve">done in </w:t>
      </w:r>
      <w:r w:rsidRPr="00716732">
        <w:rPr>
          <w:rFonts w:ascii="Times New Roman" w:hAnsi="Times New Roman"/>
          <w:color w:val="000000"/>
          <w:szCs w:val="20"/>
          <w:lang w:val="en-AU"/>
        </w:rPr>
        <w:t xml:space="preserve">an analogous </w:t>
      </w:r>
      <w:r>
        <w:rPr>
          <w:rFonts w:ascii="Times New Roman" w:hAnsi="Times New Roman"/>
          <w:color w:val="000000"/>
          <w:szCs w:val="20"/>
          <w:lang w:val="en-AU"/>
        </w:rPr>
        <w:t xml:space="preserve">manner as for </w:t>
      </w:r>
      <w:r w:rsidRPr="0051033A">
        <w:rPr>
          <w:lang w:val="en-AU"/>
        </w:rPr>
        <w:t xml:space="preserve">DCI format 2_2. </w:t>
      </w:r>
    </w:p>
    <w:p w14:paraId="19487F6B" w14:textId="23418737" w:rsidR="00680E63" w:rsidRDefault="00D8682E" w:rsidP="00D8682E">
      <w:pPr>
        <w:pStyle w:val="Heading1"/>
      </w:pPr>
      <w:r>
        <w:t>References</w:t>
      </w:r>
    </w:p>
    <w:p w14:paraId="7B06F5B9" w14:textId="4245358F" w:rsidR="00D8682E" w:rsidRPr="00D8682E" w:rsidRDefault="00D8682E" w:rsidP="00D8682E">
      <w:pPr>
        <w:rPr>
          <w:lang w:eastAsia="zh-CN"/>
        </w:rPr>
      </w:pPr>
      <w:r>
        <w:rPr>
          <w:lang w:val="en-GB" w:eastAsia="zh-CN"/>
        </w:rPr>
        <w:t>[1]</w:t>
      </w:r>
      <w:r>
        <w:rPr>
          <w:lang w:val="en-GB" w:eastAsia="zh-CN"/>
        </w:rPr>
        <w:tab/>
        <w:t>‘</w:t>
      </w:r>
      <w:r w:rsidRPr="00F36AA0">
        <w:rPr>
          <w:lang w:val="en-AU"/>
        </w:rPr>
        <w:t>Remaining issues on closed loop power control</w:t>
      </w:r>
      <w:r>
        <w:rPr>
          <w:lang w:val="en-GB" w:eastAsia="zh-CN"/>
        </w:rPr>
        <w:t xml:space="preserve">’, </w:t>
      </w:r>
      <w:r w:rsidRPr="00D8682E">
        <w:rPr>
          <w:lang w:val="en-GB" w:eastAsia="zh-CN"/>
        </w:rPr>
        <w:t>R1-1805204</w:t>
      </w:r>
      <w:r>
        <w:rPr>
          <w:lang w:val="en-GB" w:eastAsia="zh-CN"/>
        </w:rPr>
        <w:t xml:space="preserve">, Ericsson, </w:t>
      </w:r>
      <w:r w:rsidRPr="000C5734">
        <w:t xml:space="preserve">3GPP TSG RAN WG1 Meeting </w:t>
      </w:r>
      <w:r>
        <w:t>#92bis</w:t>
      </w:r>
    </w:p>
    <w:sectPr w:rsidR="00D8682E" w:rsidRPr="00D8682E" w:rsidSect="00C02A4C">
      <w:headerReference w:type="even" r:id="rId126"/>
      <w:footerReference w:type="default" r:id="rId12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59FD1" w14:textId="77777777" w:rsidR="00ED6FF6" w:rsidRDefault="00ED6FF6">
      <w:r>
        <w:separator/>
      </w:r>
    </w:p>
  </w:endnote>
  <w:endnote w:type="continuationSeparator" w:id="0">
    <w:p w14:paraId="4CEC3D2D" w14:textId="77777777" w:rsidR="00ED6FF6" w:rsidRDefault="00ED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4EC22EC" w:rsidR="00DE6C17" w:rsidRDefault="00DE6C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469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469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EC309" w14:textId="77777777" w:rsidR="00ED6FF6" w:rsidRDefault="00ED6FF6">
      <w:r>
        <w:separator/>
      </w:r>
    </w:p>
  </w:footnote>
  <w:footnote w:type="continuationSeparator" w:id="0">
    <w:p w14:paraId="74433822" w14:textId="77777777" w:rsidR="00ED6FF6" w:rsidRDefault="00ED6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DE6C17" w:rsidRDefault="00DE6C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13E8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2552047"/>
    <w:multiLevelType w:val="multilevel"/>
    <w:tmpl w:val="804426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4EB1EB3"/>
    <w:multiLevelType w:val="hybridMultilevel"/>
    <w:tmpl w:val="C316A5A6"/>
    <w:lvl w:ilvl="0" w:tplc="E41A41A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BD92686"/>
    <w:multiLevelType w:val="hybridMultilevel"/>
    <w:tmpl w:val="1D140A94"/>
    <w:lvl w:ilvl="0" w:tplc="FA4E17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24448"/>
    <w:multiLevelType w:val="hybridMultilevel"/>
    <w:tmpl w:val="A4027B10"/>
    <w:lvl w:ilvl="0" w:tplc="081D001B">
      <w:start w:val="1"/>
      <w:numFmt w:val="lowerRoman"/>
      <w:lvlText w:val="%1."/>
      <w:lvlJc w:val="righ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43B79"/>
    <w:multiLevelType w:val="hybridMultilevel"/>
    <w:tmpl w:val="DE3ADCCE"/>
    <w:lvl w:ilvl="0" w:tplc="E41A41A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55AD9"/>
    <w:multiLevelType w:val="hybridMultilevel"/>
    <w:tmpl w:val="0526C3D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E462E"/>
    <w:multiLevelType w:val="hybridMultilevel"/>
    <w:tmpl w:val="D3120CF4"/>
    <w:lvl w:ilvl="0" w:tplc="08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6F34A9"/>
    <w:multiLevelType w:val="multilevel"/>
    <w:tmpl w:val="05644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17E12"/>
    <w:multiLevelType w:val="hybridMultilevel"/>
    <w:tmpl w:val="34B0CA5E"/>
    <w:lvl w:ilvl="0" w:tplc="FC248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AU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D6BE5"/>
    <w:multiLevelType w:val="hybridMultilevel"/>
    <w:tmpl w:val="F2BE2D3A"/>
    <w:lvl w:ilvl="0" w:tplc="08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19"/>
  </w:num>
  <w:num w:numId="8">
    <w:abstractNumId w:val="6"/>
  </w:num>
  <w:num w:numId="9">
    <w:abstractNumId w:val="16"/>
  </w:num>
  <w:num w:numId="10">
    <w:abstractNumId w:val="7"/>
  </w:num>
  <w:num w:numId="11">
    <w:abstractNumId w:val="21"/>
  </w:num>
  <w:num w:numId="12">
    <w:abstractNumId w:val="14"/>
  </w:num>
  <w:num w:numId="13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12"/>
  </w:num>
  <w:num w:numId="16">
    <w:abstractNumId w:val="22"/>
  </w:num>
  <w:num w:numId="17">
    <w:abstractNumId w:val="3"/>
  </w:num>
  <w:num w:numId="18">
    <w:abstractNumId w:val="17"/>
  </w:num>
  <w:num w:numId="19">
    <w:abstractNumId w:val="23"/>
  </w:num>
  <w:num w:numId="20">
    <w:abstractNumId w:val="20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3"/>
  </w:num>
  <w:num w:numId="28">
    <w:abstractNumId w:val="4"/>
  </w:num>
  <w:num w:numId="29">
    <w:abstractNumId w:val="10"/>
  </w:num>
  <w:num w:numId="30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sv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44BF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517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C65A7"/>
    <w:rsid w:val="000D0D07"/>
    <w:rsid w:val="000D1880"/>
    <w:rsid w:val="000D4797"/>
    <w:rsid w:val="000E0527"/>
    <w:rsid w:val="000E1E92"/>
    <w:rsid w:val="000E2B56"/>
    <w:rsid w:val="000E6CFD"/>
    <w:rsid w:val="000E77B8"/>
    <w:rsid w:val="000F06D6"/>
    <w:rsid w:val="000F0EB1"/>
    <w:rsid w:val="000F1106"/>
    <w:rsid w:val="000F3BE9"/>
    <w:rsid w:val="000F3F6C"/>
    <w:rsid w:val="000F47C6"/>
    <w:rsid w:val="000F600C"/>
    <w:rsid w:val="000F6DF3"/>
    <w:rsid w:val="001005FF"/>
    <w:rsid w:val="00103366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3F18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0D2A"/>
    <w:rsid w:val="00162F87"/>
    <w:rsid w:val="001659C1"/>
    <w:rsid w:val="0017041B"/>
    <w:rsid w:val="00173A8E"/>
    <w:rsid w:val="001742B8"/>
    <w:rsid w:val="00175F81"/>
    <w:rsid w:val="001770B8"/>
    <w:rsid w:val="00177B76"/>
    <w:rsid w:val="00180875"/>
    <w:rsid w:val="0018143F"/>
    <w:rsid w:val="00183F76"/>
    <w:rsid w:val="00184B0A"/>
    <w:rsid w:val="00185587"/>
    <w:rsid w:val="00185A69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40D"/>
    <w:rsid w:val="001B0D97"/>
    <w:rsid w:val="001B5A5D"/>
    <w:rsid w:val="001B6BF8"/>
    <w:rsid w:val="001B7852"/>
    <w:rsid w:val="001C1CE5"/>
    <w:rsid w:val="001C3D2A"/>
    <w:rsid w:val="001C3FC0"/>
    <w:rsid w:val="001C6D57"/>
    <w:rsid w:val="001C7C37"/>
    <w:rsid w:val="001D4B47"/>
    <w:rsid w:val="001D4C4C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49"/>
    <w:rsid w:val="00223FCB"/>
    <w:rsid w:val="002252C3"/>
    <w:rsid w:val="002257BD"/>
    <w:rsid w:val="00225C54"/>
    <w:rsid w:val="00230765"/>
    <w:rsid w:val="002319E4"/>
    <w:rsid w:val="00233783"/>
    <w:rsid w:val="00233A9F"/>
    <w:rsid w:val="00234B42"/>
    <w:rsid w:val="00234CA0"/>
    <w:rsid w:val="00235632"/>
    <w:rsid w:val="00235872"/>
    <w:rsid w:val="00236940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3D10"/>
    <w:rsid w:val="00257543"/>
    <w:rsid w:val="002611E7"/>
    <w:rsid w:val="002617E7"/>
    <w:rsid w:val="00263CBD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666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4D33"/>
    <w:rsid w:val="00296227"/>
    <w:rsid w:val="00296F44"/>
    <w:rsid w:val="0029777D"/>
    <w:rsid w:val="002A055E"/>
    <w:rsid w:val="002A16EA"/>
    <w:rsid w:val="002A1D4E"/>
    <w:rsid w:val="002A2869"/>
    <w:rsid w:val="002A4F9F"/>
    <w:rsid w:val="002B1994"/>
    <w:rsid w:val="002B1A1F"/>
    <w:rsid w:val="002B1EFF"/>
    <w:rsid w:val="002B24D6"/>
    <w:rsid w:val="002B6176"/>
    <w:rsid w:val="002B733C"/>
    <w:rsid w:val="002C01F3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BEB"/>
    <w:rsid w:val="00311E82"/>
    <w:rsid w:val="00312E33"/>
    <w:rsid w:val="00313FD6"/>
    <w:rsid w:val="003143BD"/>
    <w:rsid w:val="003144ED"/>
    <w:rsid w:val="00315B12"/>
    <w:rsid w:val="003203ED"/>
    <w:rsid w:val="003212B8"/>
    <w:rsid w:val="00322C9F"/>
    <w:rsid w:val="00322F83"/>
    <w:rsid w:val="00324D23"/>
    <w:rsid w:val="0032713F"/>
    <w:rsid w:val="00327997"/>
    <w:rsid w:val="00331751"/>
    <w:rsid w:val="00331846"/>
    <w:rsid w:val="00331B7B"/>
    <w:rsid w:val="00333AA3"/>
    <w:rsid w:val="00334579"/>
    <w:rsid w:val="003350E8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133B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198B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2A1E"/>
    <w:rsid w:val="003E55E4"/>
    <w:rsid w:val="003E74E3"/>
    <w:rsid w:val="003E7670"/>
    <w:rsid w:val="003F05C7"/>
    <w:rsid w:val="003F2CD4"/>
    <w:rsid w:val="003F304B"/>
    <w:rsid w:val="003F362C"/>
    <w:rsid w:val="003F6BBE"/>
    <w:rsid w:val="003F6FF7"/>
    <w:rsid w:val="003F738A"/>
    <w:rsid w:val="004000E8"/>
    <w:rsid w:val="004014F6"/>
    <w:rsid w:val="0040152E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3A96"/>
    <w:rsid w:val="00444F56"/>
    <w:rsid w:val="00446488"/>
    <w:rsid w:val="00447DE1"/>
    <w:rsid w:val="004517AA"/>
    <w:rsid w:val="00452CAC"/>
    <w:rsid w:val="00453967"/>
    <w:rsid w:val="00456756"/>
    <w:rsid w:val="00456794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915"/>
    <w:rsid w:val="00492BC5"/>
    <w:rsid w:val="00493116"/>
    <w:rsid w:val="00494846"/>
    <w:rsid w:val="004960A3"/>
    <w:rsid w:val="004964F1"/>
    <w:rsid w:val="004967EC"/>
    <w:rsid w:val="00496F74"/>
    <w:rsid w:val="004978E4"/>
    <w:rsid w:val="004A0934"/>
    <w:rsid w:val="004A16BC"/>
    <w:rsid w:val="004A2B94"/>
    <w:rsid w:val="004A347A"/>
    <w:rsid w:val="004A5B39"/>
    <w:rsid w:val="004A7058"/>
    <w:rsid w:val="004B306B"/>
    <w:rsid w:val="004B5006"/>
    <w:rsid w:val="004B6C32"/>
    <w:rsid w:val="004B7C0C"/>
    <w:rsid w:val="004C3898"/>
    <w:rsid w:val="004D022B"/>
    <w:rsid w:val="004D059A"/>
    <w:rsid w:val="004D36B1"/>
    <w:rsid w:val="004D5974"/>
    <w:rsid w:val="004D59EF"/>
    <w:rsid w:val="004D60BD"/>
    <w:rsid w:val="004D7EBD"/>
    <w:rsid w:val="004E0476"/>
    <w:rsid w:val="004E226F"/>
    <w:rsid w:val="004E246C"/>
    <w:rsid w:val="004E2680"/>
    <w:rsid w:val="004E28F9"/>
    <w:rsid w:val="004E462E"/>
    <w:rsid w:val="004E56DC"/>
    <w:rsid w:val="004E6076"/>
    <w:rsid w:val="004E6A85"/>
    <w:rsid w:val="004E764F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33A"/>
    <w:rsid w:val="005108D8"/>
    <w:rsid w:val="00511236"/>
    <w:rsid w:val="005116F9"/>
    <w:rsid w:val="00512BA8"/>
    <w:rsid w:val="00513646"/>
    <w:rsid w:val="005153A7"/>
    <w:rsid w:val="00517FA4"/>
    <w:rsid w:val="005219CF"/>
    <w:rsid w:val="00522D6A"/>
    <w:rsid w:val="0052472F"/>
    <w:rsid w:val="005308A0"/>
    <w:rsid w:val="00534755"/>
    <w:rsid w:val="00534B59"/>
    <w:rsid w:val="00534E6D"/>
    <w:rsid w:val="00534FD7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AF4"/>
    <w:rsid w:val="00583B33"/>
    <w:rsid w:val="00583C4F"/>
    <w:rsid w:val="00583D71"/>
    <w:rsid w:val="0058798C"/>
    <w:rsid w:val="005900FA"/>
    <w:rsid w:val="00591A52"/>
    <w:rsid w:val="00592A06"/>
    <w:rsid w:val="00592B54"/>
    <w:rsid w:val="005935A4"/>
    <w:rsid w:val="005939D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5B14"/>
    <w:rsid w:val="005B6DAD"/>
    <w:rsid w:val="005B6F83"/>
    <w:rsid w:val="005C03D2"/>
    <w:rsid w:val="005C15F6"/>
    <w:rsid w:val="005C2ECC"/>
    <w:rsid w:val="005C3A4D"/>
    <w:rsid w:val="005C5459"/>
    <w:rsid w:val="005C74FB"/>
    <w:rsid w:val="005C7D9B"/>
    <w:rsid w:val="005D1165"/>
    <w:rsid w:val="005D126B"/>
    <w:rsid w:val="005D1602"/>
    <w:rsid w:val="005D1746"/>
    <w:rsid w:val="005D321A"/>
    <w:rsid w:val="005D4AC0"/>
    <w:rsid w:val="005D5882"/>
    <w:rsid w:val="005D5AB0"/>
    <w:rsid w:val="005E385F"/>
    <w:rsid w:val="005E448D"/>
    <w:rsid w:val="005E5B81"/>
    <w:rsid w:val="005F200B"/>
    <w:rsid w:val="005F2CB1"/>
    <w:rsid w:val="005F3025"/>
    <w:rsid w:val="005F3F57"/>
    <w:rsid w:val="005F469A"/>
    <w:rsid w:val="005F618C"/>
    <w:rsid w:val="005F6CA6"/>
    <w:rsid w:val="005F70BD"/>
    <w:rsid w:val="0060283C"/>
    <w:rsid w:val="00604F14"/>
    <w:rsid w:val="00611B83"/>
    <w:rsid w:val="006123CC"/>
    <w:rsid w:val="00613257"/>
    <w:rsid w:val="00614971"/>
    <w:rsid w:val="00614ECB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121"/>
    <w:rsid w:val="0065553E"/>
    <w:rsid w:val="00655733"/>
    <w:rsid w:val="00655ACD"/>
    <w:rsid w:val="00656A92"/>
    <w:rsid w:val="00656DDE"/>
    <w:rsid w:val="0066011D"/>
    <w:rsid w:val="006607C0"/>
    <w:rsid w:val="006613A6"/>
    <w:rsid w:val="00662419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E63"/>
    <w:rsid w:val="00680FE2"/>
    <w:rsid w:val="00681003"/>
    <w:rsid w:val="006817C9"/>
    <w:rsid w:val="00683ECE"/>
    <w:rsid w:val="00686B2C"/>
    <w:rsid w:val="00687BA5"/>
    <w:rsid w:val="00693617"/>
    <w:rsid w:val="00695126"/>
    <w:rsid w:val="006951A6"/>
    <w:rsid w:val="00695FC2"/>
    <w:rsid w:val="00696949"/>
    <w:rsid w:val="00696DED"/>
    <w:rsid w:val="00697052"/>
    <w:rsid w:val="006A46FB"/>
    <w:rsid w:val="006A49F7"/>
    <w:rsid w:val="006A4DA7"/>
    <w:rsid w:val="006A5E28"/>
    <w:rsid w:val="006A6585"/>
    <w:rsid w:val="006A697B"/>
    <w:rsid w:val="006A7AFF"/>
    <w:rsid w:val="006B01C9"/>
    <w:rsid w:val="006B1816"/>
    <w:rsid w:val="006B2099"/>
    <w:rsid w:val="006B30FB"/>
    <w:rsid w:val="006B50CF"/>
    <w:rsid w:val="006B717E"/>
    <w:rsid w:val="006B7B17"/>
    <w:rsid w:val="006B7C04"/>
    <w:rsid w:val="006C03B8"/>
    <w:rsid w:val="006C570E"/>
    <w:rsid w:val="006C5EC9"/>
    <w:rsid w:val="006C6059"/>
    <w:rsid w:val="006C6DC1"/>
    <w:rsid w:val="006C7522"/>
    <w:rsid w:val="006D21ED"/>
    <w:rsid w:val="006D27AF"/>
    <w:rsid w:val="006D6F08"/>
    <w:rsid w:val="006D71ED"/>
    <w:rsid w:val="006D7910"/>
    <w:rsid w:val="006E062C"/>
    <w:rsid w:val="006E1514"/>
    <w:rsid w:val="006E173C"/>
    <w:rsid w:val="006E18CD"/>
    <w:rsid w:val="006E2288"/>
    <w:rsid w:val="006E28B7"/>
    <w:rsid w:val="006E3310"/>
    <w:rsid w:val="006E4E39"/>
    <w:rsid w:val="006E5500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6732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4D26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1FB"/>
    <w:rsid w:val="00765281"/>
    <w:rsid w:val="007666E8"/>
    <w:rsid w:val="00766BAD"/>
    <w:rsid w:val="0077381A"/>
    <w:rsid w:val="007755F2"/>
    <w:rsid w:val="007763D5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4ED7"/>
    <w:rsid w:val="007C60BF"/>
    <w:rsid w:val="007C6A07"/>
    <w:rsid w:val="007C75A1"/>
    <w:rsid w:val="007C771D"/>
    <w:rsid w:val="007C77A5"/>
    <w:rsid w:val="007D04E5"/>
    <w:rsid w:val="007D5864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27EF8"/>
    <w:rsid w:val="00834689"/>
    <w:rsid w:val="008370EA"/>
    <w:rsid w:val="008376AC"/>
    <w:rsid w:val="008403CE"/>
    <w:rsid w:val="00842EA5"/>
    <w:rsid w:val="008444E8"/>
    <w:rsid w:val="00844E80"/>
    <w:rsid w:val="00846FE7"/>
    <w:rsid w:val="00852402"/>
    <w:rsid w:val="00852BBD"/>
    <w:rsid w:val="00854E76"/>
    <w:rsid w:val="00856911"/>
    <w:rsid w:val="00856AAA"/>
    <w:rsid w:val="00856E89"/>
    <w:rsid w:val="00862B39"/>
    <w:rsid w:val="0086462F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23DC"/>
    <w:rsid w:val="00894A88"/>
    <w:rsid w:val="00895386"/>
    <w:rsid w:val="008A1D9D"/>
    <w:rsid w:val="008A21FF"/>
    <w:rsid w:val="008A25DA"/>
    <w:rsid w:val="008A27CF"/>
    <w:rsid w:val="008A2CC4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1CA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11D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5990"/>
    <w:rsid w:val="00906939"/>
    <w:rsid w:val="00910B7D"/>
    <w:rsid w:val="00911DFB"/>
    <w:rsid w:val="009139D9"/>
    <w:rsid w:val="00914AD8"/>
    <w:rsid w:val="00916079"/>
    <w:rsid w:val="00916118"/>
    <w:rsid w:val="00917CE9"/>
    <w:rsid w:val="0092069A"/>
    <w:rsid w:val="009208D7"/>
    <w:rsid w:val="00920BF2"/>
    <w:rsid w:val="00922010"/>
    <w:rsid w:val="00923793"/>
    <w:rsid w:val="00923D6D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3E09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2F52"/>
    <w:rsid w:val="0096430A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C65"/>
    <w:rsid w:val="009A0FBA"/>
    <w:rsid w:val="009A1601"/>
    <w:rsid w:val="009A18A7"/>
    <w:rsid w:val="009A4210"/>
    <w:rsid w:val="009A462D"/>
    <w:rsid w:val="009A5CBA"/>
    <w:rsid w:val="009A6B99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0704"/>
    <w:rsid w:val="00A01C14"/>
    <w:rsid w:val="00A031D8"/>
    <w:rsid w:val="00A041FE"/>
    <w:rsid w:val="00A048A8"/>
    <w:rsid w:val="00A04F49"/>
    <w:rsid w:val="00A05A89"/>
    <w:rsid w:val="00A06454"/>
    <w:rsid w:val="00A1255E"/>
    <w:rsid w:val="00A13B72"/>
    <w:rsid w:val="00A13E54"/>
    <w:rsid w:val="00A15471"/>
    <w:rsid w:val="00A15745"/>
    <w:rsid w:val="00A16C61"/>
    <w:rsid w:val="00A16FA2"/>
    <w:rsid w:val="00A17F63"/>
    <w:rsid w:val="00A2193B"/>
    <w:rsid w:val="00A2351A"/>
    <w:rsid w:val="00A25CEA"/>
    <w:rsid w:val="00A264A9"/>
    <w:rsid w:val="00A269E0"/>
    <w:rsid w:val="00A26A6B"/>
    <w:rsid w:val="00A27785"/>
    <w:rsid w:val="00A278A1"/>
    <w:rsid w:val="00A30187"/>
    <w:rsid w:val="00A30B29"/>
    <w:rsid w:val="00A33BAA"/>
    <w:rsid w:val="00A33EC7"/>
    <w:rsid w:val="00A3448A"/>
    <w:rsid w:val="00A36297"/>
    <w:rsid w:val="00A400FF"/>
    <w:rsid w:val="00A41E2B"/>
    <w:rsid w:val="00A4597C"/>
    <w:rsid w:val="00A45B74"/>
    <w:rsid w:val="00A47318"/>
    <w:rsid w:val="00A52E1D"/>
    <w:rsid w:val="00A55B8E"/>
    <w:rsid w:val="00A566D4"/>
    <w:rsid w:val="00A60726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076D"/>
    <w:rsid w:val="00A71B99"/>
    <w:rsid w:val="00A739D0"/>
    <w:rsid w:val="00A73EDE"/>
    <w:rsid w:val="00A7402E"/>
    <w:rsid w:val="00A760E9"/>
    <w:rsid w:val="00A761D4"/>
    <w:rsid w:val="00A77EC4"/>
    <w:rsid w:val="00A853FE"/>
    <w:rsid w:val="00A85C6C"/>
    <w:rsid w:val="00A85EF6"/>
    <w:rsid w:val="00A86EC3"/>
    <w:rsid w:val="00A9105B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DBC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5D18"/>
    <w:rsid w:val="00AE7823"/>
    <w:rsid w:val="00AF0198"/>
    <w:rsid w:val="00AF1C2D"/>
    <w:rsid w:val="00AF1C5D"/>
    <w:rsid w:val="00AF2DF4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3BC8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902"/>
    <w:rsid w:val="00B45A52"/>
    <w:rsid w:val="00B46175"/>
    <w:rsid w:val="00B53518"/>
    <w:rsid w:val="00B53F90"/>
    <w:rsid w:val="00B55315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3D84"/>
    <w:rsid w:val="00BF74C7"/>
    <w:rsid w:val="00BF7642"/>
    <w:rsid w:val="00C015F1"/>
    <w:rsid w:val="00C01F33"/>
    <w:rsid w:val="00C02A4C"/>
    <w:rsid w:val="00C02CC6"/>
    <w:rsid w:val="00C03678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14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57B50"/>
    <w:rsid w:val="00C60783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77A4C"/>
    <w:rsid w:val="00C80DD7"/>
    <w:rsid w:val="00C81568"/>
    <w:rsid w:val="00C83B70"/>
    <w:rsid w:val="00C84A6E"/>
    <w:rsid w:val="00C85A92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0903"/>
    <w:rsid w:val="00D030F3"/>
    <w:rsid w:val="00D0349B"/>
    <w:rsid w:val="00D049E2"/>
    <w:rsid w:val="00D06D6F"/>
    <w:rsid w:val="00D10249"/>
    <w:rsid w:val="00D10702"/>
    <w:rsid w:val="00D115C3"/>
    <w:rsid w:val="00D11897"/>
    <w:rsid w:val="00D13135"/>
    <w:rsid w:val="00D13E4E"/>
    <w:rsid w:val="00D22B56"/>
    <w:rsid w:val="00D239A7"/>
    <w:rsid w:val="00D23CF9"/>
    <w:rsid w:val="00D23F47"/>
    <w:rsid w:val="00D2409C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1C9E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1BC3"/>
    <w:rsid w:val="00D6264C"/>
    <w:rsid w:val="00D62725"/>
    <w:rsid w:val="00D63449"/>
    <w:rsid w:val="00D63AF5"/>
    <w:rsid w:val="00D641A6"/>
    <w:rsid w:val="00D642CA"/>
    <w:rsid w:val="00D652B5"/>
    <w:rsid w:val="00D66155"/>
    <w:rsid w:val="00D67D01"/>
    <w:rsid w:val="00D708B0"/>
    <w:rsid w:val="00D70D10"/>
    <w:rsid w:val="00D718DE"/>
    <w:rsid w:val="00D71D0A"/>
    <w:rsid w:val="00D71F12"/>
    <w:rsid w:val="00D7321B"/>
    <w:rsid w:val="00D756B6"/>
    <w:rsid w:val="00D75EA7"/>
    <w:rsid w:val="00D77B1D"/>
    <w:rsid w:val="00D8021F"/>
    <w:rsid w:val="00D80383"/>
    <w:rsid w:val="00D8102F"/>
    <w:rsid w:val="00D81BE9"/>
    <w:rsid w:val="00D823C6"/>
    <w:rsid w:val="00D83594"/>
    <w:rsid w:val="00D8682E"/>
    <w:rsid w:val="00D86CA3"/>
    <w:rsid w:val="00D871CE"/>
    <w:rsid w:val="00D8741A"/>
    <w:rsid w:val="00D9196D"/>
    <w:rsid w:val="00D92982"/>
    <w:rsid w:val="00D93762"/>
    <w:rsid w:val="00D93B06"/>
    <w:rsid w:val="00D9433E"/>
    <w:rsid w:val="00DA1CF0"/>
    <w:rsid w:val="00DA305E"/>
    <w:rsid w:val="00DA35B7"/>
    <w:rsid w:val="00DA3A39"/>
    <w:rsid w:val="00DA503B"/>
    <w:rsid w:val="00DA5417"/>
    <w:rsid w:val="00DA56E8"/>
    <w:rsid w:val="00DA59C5"/>
    <w:rsid w:val="00DB07FD"/>
    <w:rsid w:val="00DB0A9F"/>
    <w:rsid w:val="00DB377D"/>
    <w:rsid w:val="00DB7696"/>
    <w:rsid w:val="00DC2D36"/>
    <w:rsid w:val="00DC53CC"/>
    <w:rsid w:val="00DC53EF"/>
    <w:rsid w:val="00DC5FBF"/>
    <w:rsid w:val="00DE21DD"/>
    <w:rsid w:val="00DE394D"/>
    <w:rsid w:val="00DE3DA5"/>
    <w:rsid w:val="00DE47A5"/>
    <w:rsid w:val="00DE5608"/>
    <w:rsid w:val="00DE58D0"/>
    <w:rsid w:val="00DE654F"/>
    <w:rsid w:val="00DE6C17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5C92"/>
    <w:rsid w:val="00E17FA2"/>
    <w:rsid w:val="00E20D4E"/>
    <w:rsid w:val="00E217FF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37C0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B583F"/>
    <w:rsid w:val="00EC27C6"/>
    <w:rsid w:val="00EC4207"/>
    <w:rsid w:val="00EC46E3"/>
    <w:rsid w:val="00EC5653"/>
    <w:rsid w:val="00EC71CE"/>
    <w:rsid w:val="00EC77A7"/>
    <w:rsid w:val="00ED1006"/>
    <w:rsid w:val="00ED5E1D"/>
    <w:rsid w:val="00ED6FF6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1331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3AC3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8C1"/>
    <w:rsid w:val="00F60A6E"/>
    <w:rsid w:val="00F60C01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09F6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17FA"/>
    <w:rsid w:val="00F81964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B76F8"/>
    <w:rsid w:val="00FC5886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1E96"/>
    <w:rsid w:val="00FF4156"/>
    <w:rsid w:val="00FF45A5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63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63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63D5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link w:val="B3Char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ListParagraph4">
    <w:name w:val="List Paragraph4"/>
    <w:basedOn w:val="Normal"/>
    <w:qFormat/>
    <w:rsid w:val="005B5B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3Char">
    <w:name w:val="B3 Char"/>
    <w:link w:val="B3"/>
    <w:rsid w:val="00C2714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5.bin"/><Relationship Id="rId117" Type="http://schemas.openxmlformats.org/officeDocument/2006/relationships/oleObject" Target="embeddings/oleObject87.bin"/><Relationship Id="rId21" Type="http://schemas.openxmlformats.org/officeDocument/2006/relationships/oleObject" Target="embeddings/oleObject10.bin"/><Relationship Id="rId42" Type="http://schemas.openxmlformats.org/officeDocument/2006/relationships/image" Target="media/image7.wmf"/><Relationship Id="rId47" Type="http://schemas.openxmlformats.org/officeDocument/2006/relationships/oleObject" Target="embeddings/oleObject31.bin"/><Relationship Id="rId63" Type="http://schemas.openxmlformats.org/officeDocument/2006/relationships/oleObject" Target="embeddings/oleObject43.bin"/><Relationship Id="rId68" Type="http://schemas.openxmlformats.org/officeDocument/2006/relationships/oleObject" Target="embeddings/oleObject48.bin"/><Relationship Id="rId84" Type="http://schemas.openxmlformats.org/officeDocument/2006/relationships/oleObject" Target="embeddings/oleObject58.bin"/><Relationship Id="rId89" Type="http://schemas.openxmlformats.org/officeDocument/2006/relationships/oleObject" Target="embeddings/oleObject63.bin"/><Relationship Id="rId112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77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21.bin"/><Relationship Id="rId37" Type="http://schemas.openxmlformats.org/officeDocument/2006/relationships/oleObject" Target="embeddings/oleObject26.bin"/><Relationship Id="rId53" Type="http://schemas.openxmlformats.org/officeDocument/2006/relationships/oleObject" Target="embeddings/oleObject34.bin"/><Relationship Id="rId58" Type="http://schemas.openxmlformats.org/officeDocument/2006/relationships/oleObject" Target="embeddings/oleObject39.bin"/><Relationship Id="rId74" Type="http://schemas.openxmlformats.org/officeDocument/2006/relationships/oleObject" Target="embeddings/oleObject51.bin"/><Relationship Id="rId79" Type="http://schemas.openxmlformats.org/officeDocument/2006/relationships/oleObject" Target="embeddings/oleObject54.bin"/><Relationship Id="rId102" Type="http://schemas.openxmlformats.org/officeDocument/2006/relationships/oleObject" Target="embeddings/oleObject72.bin"/><Relationship Id="rId123" Type="http://schemas.openxmlformats.org/officeDocument/2006/relationships/oleObject" Target="embeddings/oleObject93.bin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64.bin"/><Relationship Id="rId95" Type="http://schemas.openxmlformats.org/officeDocument/2006/relationships/oleObject" Target="embeddings/oleObject68.bin"/><Relationship Id="rId19" Type="http://schemas.openxmlformats.org/officeDocument/2006/relationships/oleObject" Target="embeddings/oleObject8.bin"/><Relationship Id="rId14" Type="http://schemas.openxmlformats.org/officeDocument/2006/relationships/image" Target="media/image4.wmf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4.bin"/><Relationship Id="rId43" Type="http://schemas.openxmlformats.org/officeDocument/2006/relationships/oleObject" Target="embeddings/oleObject29.bin"/><Relationship Id="rId48" Type="http://schemas.openxmlformats.org/officeDocument/2006/relationships/image" Target="media/image10.wmf"/><Relationship Id="rId56" Type="http://schemas.openxmlformats.org/officeDocument/2006/relationships/oleObject" Target="embeddings/oleObject37.bin"/><Relationship Id="rId64" Type="http://schemas.openxmlformats.org/officeDocument/2006/relationships/oleObject" Target="embeddings/oleObject44.bin"/><Relationship Id="rId69" Type="http://schemas.openxmlformats.org/officeDocument/2006/relationships/image" Target="media/image14.wmf"/><Relationship Id="rId77" Type="http://schemas.openxmlformats.org/officeDocument/2006/relationships/oleObject" Target="embeddings/oleObject53.bin"/><Relationship Id="rId100" Type="http://schemas.openxmlformats.org/officeDocument/2006/relationships/image" Target="media/image23.wmf"/><Relationship Id="rId105" Type="http://schemas.openxmlformats.org/officeDocument/2006/relationships/oleObject" Target="embeddings/oleObject75.bin"/><Relationship Id="rId113" Type="http://schemas.openxmlformats.org/officeDocument/2006/relationships/oleObject" Target="embeddings/oleObject83.bin"/><Relationship Id="rId118" Type="http://schemas.openxmlformats.org/officeDocument/2006/relationships/oleObject" Target="embeddings/oleObject88.bin"/><Relationship Id="rId126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33.bin"/><Relationship Id="rId72" Type="http://schemas.openxmlformats.org/officeDocument/2006/relationships/oleObject" Target="embeddings/oleObject50.bin"/><Relationship Id="rId80" Type="http://schemas.openxmlformats.org/officeDocument/2006/relationships/oleObject" Target="embeddings/oleObject55.bin"/><Relationship Id="rId85" Type="http://schemas.openxmlformats.org/officeDocument/2006/relationships/oleObject" Target="embeddings/oleObject59.bin"/><Relationship Id="rId93" Type="http://schemas.openxmlformats.org/officeDocument/2006/relationships/oleObject" Target="embeddings/oleObject66.bin"/><Relationship Id="rId98" Type="http://schemas.openxmlformats.org/officeDocument/2006/relationships/image" Target="media/image22.wmf"/><Relationship Id="rId121" Type="http://schemas.openxmlformats.org/officeDocument/2006/relationships/oleObject" Target="embeddings/oleObject9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2.bin"/><Relationship Id="rId38" Type="http://schemas.openxmlformats.org/officeDocument/2006/relationships/image" Target="media/image5.wmf"/><Relationship Id="rId46" Type="http://schemas.openxmlformats.org/officeDocument/2006/relationships/image" Target="media/image9.wmf"/><Relationship Id="rId59" Type="http://schemas.openxmlformats.org/officeDocument/2006/relationships/oleObject" Target="embeddings/oleObject40.bin"/><Relationship Id="rId67" Type="http://schemas.openxmlformats.org/officeDocument/2006/relationships/oleObject" Target="embeddings/oleObject47.bin"/><Relationship Id="rId103" Type="http://schemas.openxmlformats.org/officeDocument/2006/relationships/oleObject" Target="embeddings/oleObject73.bin"/><Relationship Id="rId108" Type="http://schemas.openxmlformats.org/officeDocument/2006/relationships/oleObject" Target="embeddings/oleObject78.bin"/><Relationship Id="rId116" Type="http://schemas.openxmlformats.org/officeDocument/2006/relationships/oleObject" Target="embeddings/oleObject86.bin"/><Relationship Id="rId124" Type="http://schemas.openxmlformats.org/officeDocument/2006/relationships/oleObject" Target="embeddings/oleObject94.bin"/><Relationship Id="rId129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8.bin"/><Relationship Id="rId54" Type="http://schemas.openxmlformats.org/officeDocument/2006/relationships/oleObject" Target="embeddings/oleObject35.bin"/><Relationship Id="rId62" Type="http://schemas.openxmlformats.org/officeDocument/2006/relationships/oleObject" Target="embeddings/oleObject42.bin"/><Relationship Id="rId70" Type="http://schemas.openxmlformats.org/officeDocument/2006/relationships/oleObject" Target="embeddings/oleObject49.bin"/><Relationship Id="rId75" Type="http://schemas.openxmlformats.org/officeDocument/2006/relationships/oleObject" Target="embeddings/oleObject52.bin"/><Relationship Id="rId83" Type="http://schemas.openxmlformats.org/officeDocument/2006/relationships/oleObject" Target="embeddings/oleObject57.bin"/><Relationship Id="rId88" Type="http://schemas.openxmlformats.org/officeDocument/2006/relationships/oleObject" Target="embeddings/oleObject62.bin"/><Relationship Id="rId91" Type="http://schemas.openxmlformats.org/officeDocument/2006/relationships/image" Target="media/image20.wmf"/><Relationship Id="rId96" Type="http://schemas.openxmlformats.org/officeDocument/2006/relationships/image" Target="media/image21.wmf"/><Relationship Id="rId111" Type="http://schemas.openxmlformats.org/officeDocument/2006/relationships/oleObject" Target="embeddings/oleObject8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5.bin"/><Relationship Id="rId49" Type="http://schemas.openxmlformats.org/officeDocument/2006/relationships/oleObject" Target="embeddings/oleObject32.bin"/><Relationship Id="rId57" Type="http://schemas.openxmlformats.org/officeDocument/2006/relationships/oleObject" Target="embeddings/oleObject38.bin"/><Relationship Id="rId106" Type="http://schemas.openxmlformats.org/officeDocument/2006/relationships/oleObject" Target="embeddings/oleObject76.bin"/><Relationship Id="rId114" Type="http://schemas.openxmlformats.org/officeDocument/2006/relationships/oleObject" Target="embeddings/oleObject84.bin"/><Relationship Id="rId119" Type="http://schemas.openxmlformats.org/officeDocument/2006/relationships/oleObject" Target="embeddings/oleObject89.bin"/><Relationship Id="rId127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20.bin"/><Relationship Id="rId44" Type="http://schemas.openxmlformats.org/officeDocument/2006/relationships/image" Target="media/image8.wmf"/><Relationship Id="rId52" Type="http://schemas.openxmlformats.org/officeDocument/2006/relationships/image" Target="media/image12.wmf"/><Relationship Id="rId60" Type="http://schemas.openxmlformats.org/officeDocument/2006/relationships/image" Target="media/image13.wmf"/><Relationship Id="rId65" Type="http://schemas.openxmlformats.org/officeDocument/2006/relationships/oleObject" Target="embeddings/oleObject45.bin"/><Relationship Id="rId73" Type="http://schemas.openxmlformats.org/officeDocument/2006/relationships/image" Target="media/image16.wmf"/><Relationship Id="rId78" Type="http://schemas.openxmlformats.org/officeDocument/2006/relationships/image" Target="media/image18.wmf"/><Relationship Id="rId81" Type="http://schemas.openxmlformats.org/officeDocument/2006/relationships/oleObject" Target="embeddings/oleObject56.bin"/><Relationship Id="rId86" Type="http://schemas.openxmlformats.org/officeDocument/2006/relationships/oleObject" Target="embeddings/oleObject60.bin"/><Relationship Id="rId94" Type="http://schemas.openxmlformats.org/officeDocument/2006/relationships/oleObject" Target="embeddings/oleObject67.bin"/><Relationship Id="rId99" Type="http://schemas.openxmlformats.org/officeDocument/2006/relationships/oleObject" Target="embeddings/oleObject70.bin"/><Relationship Id="rId101" Type="http://schemas.openxmlformats.org/officeDocument/2006/relationships/oleObject" Target="embeddings/oleObject71.bin"/><Relationship Id="rId122" Type="http://schemas.openxmlformats.org/officeDocument/2006/relationships/oleObject" Target="embeddings/oleObject9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7.bin"/><Relationship Id="rId109" Type="http://schemas.openxmlformats.org/officeDocument/2006/relationships/oleObject" Target="embeddings/oleObject79.bin"/><Relationship Id="rId34" Type="http://schemas.openxmlformats.org/officeDocument/2006/relationships/oleObject" Target="embeddings/oleObject23.bin"/><Relationship Id="rId50" Type="http://schemas.openxmlformats.org/officeDocument/2006/relationships/image" Target="media/image11.wmf"/><Relationship Id="rId55" Type="http://schemas.openxmlformats.org/officeDocument/2006/relationships/oleObject" Target="embeddings/oleObject36.bin"/><Relationship Id="rId76" Type="http://schemas.openxmlformats.org/officeDocument/2006/relationships/image" Target="media/image17.wmf"/><Relationship Id="rId97" Type="http://schemas.openxmlformats.org/officeDocument/2006/relationships/oleObject" Target="embeddings/oleObject69.bin"/><Relationship Id="rId104" Type="http://schemas.openxmlformats.org/officeDocument/2006/relationships/oleObject" Target="embeddings/oleObject74.bin"/><Relationship Id="rId120" Type="http://schemas.openxmlformats.org/officeDocument/2006/relationships/oleObject" Target="embeddings/oleObject90.bin"/><Relationship Id="rId125" Type="http://schemas.openxmlformats.org/officeDocument/2006/relationships/oleObject" Target="embeddings/oleObject95.bin"/><Relationship Id="rId7" Type="http://schemas.openxmlformats.org/officeDocument/2006/relationships/endnotes" Target="endnotes.xml"/><Relationship Id="rId71" Type="http://schemas.openxmlformats.org/officeDocument/2006/relationships/image" Target="media/image15.wmf"/><Relationship Id="rId92" Type="http://schemas.openxmlformats.org/officeDocument/2006/relationships/oleObject" Target="embeddings/oleObject6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8.bin"/><Relationship Id="rId24" Type="http://schemas.openxmlformats.org/officeDocument/2006/relationships/oleObject" Target="embeddings/oleObject13.bin"/><Relationship Id="rId40" Type="http://schemas.openxmlformats.org/officeDocument/2006/relationships/image" Target="media/image6.wmf"/><Relationship Id="rId45" Type="http://schemas.openxmlformats.org/officeDocument/2006/relationships/oleObject" Target="embeddings/oleObject30.bin"/><Relationship Id="rId66" Type="http://schemas.openxmlformats.org/officeDocument/2006/relationships/oleObject" Target="embeddings/oleObject46.bin"/><Relationship Id="rId87" Type="http://schemas.openxmlformats.org/officeDocument/2006/relationships/oleObject" Target="embeddings/oleObject61.bin"/><Relationship Id="rId110" Type="http://schemas.openxmlformats.org/officeDocument/2006/relationships/oleObject" Target="embeddings/oleObject80.bin"/><Relationship Id="rId115" Type="http://schemas.openxmlformats.org/officeDocument/2006/relationships/oleObject" Target="embeddings/oleObject85.bin"/><Relationship Id="rId61" Type="http://schemas.openxmlformats.org/officeDocument/2006/relationships/oleObject" Target="embeddings/oleObject41.bin"/><Relationship Id="rId82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CE8EF-DB42-45A0-A153-7AAB89F75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2018-05-12T03:06:00Z</dcterms:created>
  <dcterms:modified xsi:type="dcterms:W3CDTF">2018-05-12T03:07:00Z</dcterms:modified>
</cp:coreProperties>
</file>